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167 GVG</w:t>
      </w:r>
    </w:p>
    <w:p>
      <w:r>
        <w:rPr>
          <w:color w:val="555555"/>
          <w:sz w:val="18"/>
        </w:rPr>
        <w:t xml:space="preserve">Gerichtsverfassungsgesetz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Polizeibeamten eines deutschen Landes sind ermächtigt, die Verfolgung eines Flüchtigen auf das Gebiet eines anderen deutschen Landes fortzusetzen und den Flüchtigen dort zu ergreifen.</w:t>
      </w:r>
    </w:p>
    <w:p>
      <w:r>
        <w:t xml:space="preserve">(2) Der Ergriffene ist unverzüglich an das nächste Gericht oder die nächste Polizeibehörde des Landes, in dem er ergriffen wurde, abzuführen.</w:t>
      </w:r>
    </w:p>
    <w:p>
      <w:r>
        <w:rPr>
          <w:color w:val="555555"/>
          <w:sz w:val="17"/>
        </w:rPr>
        <w:t xml:space="preserve">Zitiervorschlag: § 167 GVG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https://recht.nulegal.eu/gesetze/GVG/167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