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 und Auslagen der Rechtshilfe werden von der ersuchenden Behörde nicht erstattet.</w:t>
      </w:r>
    </w:p>
    <w:p>
      <w:r>
        <w:t xml:space="preserve">(2) Gebühren oder andere öffentliche Abgaben, denen die von der ersuchenden Behörde übersendeten Schriftstücke (Urkunden, Protokolle) nach dem Recht der ersuchten Behörde unterliegen, bleiben außer Ansatz.</w:t>
      </w:r>
    </w:p>
    <w:p>
      <w:r>
        <w:rPr>
          <w:color w:val="555555"/>
          <w:sz w:val="17"/>
        </w:rPr>
        <w:t xml:space="preserve">Zitiervorschlag: § 164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