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163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Soll eine Freiheitsstrafe in dem Bezirk eines anderen Gerichts vollstreckt oder ein in dem Bezirk eines anderen Gerichts befindlicher Verurteilter zum Zwecke der Strafverbüßung ergriffen und abgeliefert werden, so ist die Staatsanwaltschaft bei dem Landgericht des Bezirks um die Ausführung zu ersuchen.</w:t>
      </w:r>
    </w:p>
    <w:p>
      <w:r>
        <w:rPr>
          <w:color w:val="555555"/>
          <w:sz w:val="17"/>
        </w:rPr>
        <w:t xml:space="preserve">Zitiervorschlag: § 163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