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Wird das Ersuchen abgelehnt oder wird der Vorschrift des § 158 Abs 2 zuwider dem Ersuchen stattgegeben, so entscheidet das Oberlandesgericht, zu dessen Bezirk das ersuchte Gericht gehört. Die Entscheidung ist nur anfechtbar, wenn sie die Rechtshilfe für unzulässig erklärt und das ersuchende und das ersuchte Gericht den Bezirken verschiedener Oberlandesgerichte angehören. Über die Beschwerde entscheidet der Bundesgerichtshof.</w:t>
      </w:r>
    </w:p>
    <w:p>
      <w:r>
        <w:t xml:space="preserve">(2) Die Entscheidungen ergehen auf Antrag der Beteiligten oder des ersuchenden Gerichts ohne mündliche Verhandlung.</w:t>
      </w:r>
    </w:p>
    <w:p>
      <w:r>
        <w:rPr>
          <w:color w:val="555555"/>
          <w:sz w:val="17"/>
        </w:rPr>
        <w:t xml:space="preserve">Zitiervorschlag: § 159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