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154 GVG</w:t>
      </w:r>
    </w:p>
    <w:p>
      <w:r>
        <w:rPr>
          <w:color w:val="555555"/>
          <w:sz w:val="18"/>
        </w:rPr>
        <w:t xml:space="preserve">Gerichtsverfassungsgesetz</w:t>
      </w:r>
    </w:p>
    <w:p>
      <w:r>
        <w:rPr>
          <w:color w:val="555555"/>
          <w:sz w:val="18"/>
        </w:rPr>
        <w:t xml:space="preserve">Stand: 10.06.2019 (konsolidierte Textfassung, kein amtliches Inkrafttretensdatum)</w:t>
      </w:r>
    </w:p>
    <w:p>
      <w:r>
        <w:t xml:space="preserve">Die Dienst- und Geschäftsverhältnisse der mit den Zustellungen, Ladungen und Vollstreckungen zu betrauenden Beamten (Gerichtsvollzieher) werden bei dem Bundesgerichtshof durch den Bundesminister der Justiz und für Verbraucherschutz, bei den Landesgerichten durch die Landesjustizverwaltung bestimmt.</w:t>
      </w:r>
    </w:p>
    <w:p>
      <w:r>
        <w:rPr>
          <w:color w:val="555555"/>
          <w:sz w:val="17"/>
        </w:rPr>
        <w:t xml:space="preserve">Zitiervorschlag: § 154 GVG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https://recht.nulegal.eu/gesetze/GVG/154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