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Ermittlungspersonen der Staatsanwaltschaft sind in dieser Eigenschaft verpflichtet, den Anordnungen der Staatsanwaltschaft ihres Bezirks und der dieser vorgesetzten Beamten Folge zu leisten.</w:t>
      </w:r>
    </w:p>
    <w:p>
      <w:r>
        <w:t xml:space="preserve">(2) Die Landesregierungen werden ermächtigt, durch Rechtsverordnung diejenigen Beamten- und Angestelltengruppen zu bezeichnen, auf die diese Vorschrift anzuwenden ist. Die Angestellten müssen im öffentlichen Dienst stehen, das 21. Lebensjahr vollendet haben und mindestens zwei Jahre in den bezeichneten Beamten- oder Angestelltengruppen tätig gewesen sein. Die Landesregierungen können die Ermächtigung durch Rechtsverordnung auf die Landesjustizverwaltungen übertragen.</w:t>
      </w:r>
    </w:p>
    <w:p>
      <w:r>
        <w:rPr>
          <w:color w:val="555555"/>
          <w:sz w:val="17"/>
        </w:rPr>
        <w:t xml:space="preserve">Zitiervorschlag: § 152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