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145 GVG</w:t>
      </w:r>
    </w:p>
    <w:p>
      <w:r>
        <w:rPr>
          <w:color w:val="555555"/>
          <w:sz w:val="18"/>
        </w:rPr>
        <w:t xml:space="preserve">Gerichtsverfassungsgesetz</w:t>
      </w:r>
    </w:p>
    <w:p>
      <w:r>
        <w:rPr>
          <w:color w:val="555555"/>
          <w:sz w:val="18"/>
        </w:rPr>
        <w:t xml:space="preserve">Stand: 10.06.2019 (konsolidierte Textfassung, kein amtliches Inkrafttretensdatum)</w:t>
      </w:r>
    </w:p>
    <w:p>
      <w:r>
        <w:t xml:space="preserve">(1) Die ersten Beamten der Staatsanwaltschaft bei den Oberlandesgerichten und den Landgerichten sind befugt, bei allen Gerichten ihres Bezirks die Amtsverrichtungen der Staatsanwaltschaft selbst zu übernehmen oder mit ihrer Wahrnehmung einen anderen als den zunächst zuständigen Beamten zu beauftragen.</w:t>
      </w:r>
    </w:p>
    <w:p>
      <w:r>
        <w:t xml:space="preserve">(2) Amtsanwälte können das Amt der Staatsanwaltschaft nur bei den Amtsgerichten versehen.</w:t>
      </w:r>
    </w:p>
    <w:p>
      <w:r>
        <w:rPr>
          <w:color w:val="555555"/>
          <w:sz w:val="17"/>
        </w:rPr>
        <w:t xml:space="preserve">Zitiervorschlag: § 145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https://recht.nulegal.eu/gesetze/GVG/145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