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142b GVG — Europäische Staatsanwaltschaft</w:t>
      </w:r>
    </w:p>
    <w:p>
      <w:r>
        <w:rPr>
          <w:color w:val="555555"/>
          <w:sz w:val="18"/>
        </w:rPr>
        <w:t xml:space="preserve">Gerichtsverfassungsgesetz</w:t>
      </w:r>
    </w:p>
    <w:p>
      <w:r>
        <w:rPr>
          <w:color w:val="555555"/>
          <w:sz w:val="18"/>
        </w:rPr>
        <w:t xml:space="preserve">Stand: 17.07.2020 (konsolidierte Textfassung, kein amtliches Inkrafttretensdatum)</w:t>
      </w:r>
    </w:p>
    <w:p>
      <w:r>
        <w:t xml:space="preserve">(1) In Verfahren, in denen die Europäische Staatsanwaltschaft nach den Artikeln 22 und 23 der Verordnung (EU) 2017/1939 des Rates vom 12. Oktober 2017 zur Durchführung einer Verstärkten Zusammenarbeit zur Errichtung der Europäischen Staatsanwaltschaft (EUStA) (ABl. L 283 vom 31.10.2017, S. 1) zuständig ist und gemäß Artikel 25 dieser Verordnung die Verfolgung übernommen hat, wird das Amt der Staatsanwaltschaft durch Staatsanwälte ausgeübt, die zugleich als Delegierte Europäische Staatsanwälte für die Bundesrepublik Deutschland gemäß dieser Verordnung ernannt sind. Bei Verfahren vor dem Bundesgerichtshof wird das Amt der Staatsanwaltschaft durch einen Bundesanwalt ausgeübt, der zugleich als Delegierter Europäischer Staatsanwalt gemäß der Verordnung (EU) 2017/1939 ernannt ist. Wird der gemäß der Verordnung (EU) 2017/1939 für die Bundesrepublik Deutschland ernannte Europäische Staatsanwalt gemäß Artikel 28 Absatz 4 dieser Verordnung tätig, wird das Amt der Staatsanwaltschaft durch diesen ausgeübt.</w:t>
      </w:r>
    </w:p>
    <w:p>
      <w:r>
        <w:t xml:space="preserve">(2) Im Falle des Artikels 25 Absatz 6 der Verordnung (EU) 2017/1939 entscheidet der Generalbundesanwalt auf Antrag der betroffenen Staatsanwaltschaft oder der Europäischen Staatsanwaltschaft. Gegen die Entscheidung des Generalbundesanwalts kann die betroffene Staatsanwaltschaft oder die Europäische Staatsanwaltschaft Beschwerde beim Bundesgerichtshof erheben.</w:t>
      </w:r>
    </w:p>
    <w:p>
      <w:r>
        <w:rPr>
          <w:color w:val="555555"/>
          <w:sz w:val="17"/>
        </w:rPr>
        <w:t xml:space="preserve">Zitiervorschlag: § 142b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