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142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Amt der Staatsanwaltschaft wird ausgeübt:</w:t>
      </w:r>
    </w:p>
    <w:p>
      <w:pPr>
        <w:ind w:left="420"/>
      </w:pPr>
      <w:r>
        <w:t xml:space="preserve">1. bei dem Bundesgerichtshof durch einen Generalbundesanwalt und durch einen oder mehrere Bundesanwälte;</w:t>
      </w:r>
    </w:p>
    <w:p>
      <w:pPr>
        <w:ind w:left="420"/>
      </w:pPr>
      <w:r>
        <w:t xml:space="preserve">2. bei den Oberlandesgerichten und den Landgerichten durch einen oder mehrere Staatsanwälte;</w:t>
      </w:r>
    </w:p>
    <w:p>
      <w:pPr>
        <w:ind w:left="420"/>
      </w:pPr>
      <w:r>
        <w:t xml:space="preserve">3. bei den Amtsgerichten durch einen oder mehrere Staatsanwälte oder Amtsanwälte.</w:t>
      </w:r>
    </w:p>
    <w:p>
      <w:r>
        <w:t xml:space="preserve">(2) Die Zuständigkeit der Amtsanwälte erstreckt sich nicht auf das amtsrichterliche Verfahren zur Vorbereitung der öffentlichen Klage in den Strafsachen, die zur Zuständigkeit anderer Gerichte als der Amtsgerichte gehören.</w:t>
      </w:r>
    </w:p>
    <w:p>
      <w:r>
        <w:t xml:space="preserve">(3) Referendaren kann die Wahrnehmung der Aufgaben eines Amtsanwalts und im Einzelfall die Wahrnehmung der Aufgaben eines Staatsanwalts unter dessen Aufsicht übertragen werden.</w:t>
      </w:r>
    </w:p>
    <w:p>
      <w:r>
        <w:rPr>
          <w:color w:val="555555"/>
          <w:sz w:val="17"/>
        </w:rPr>
        <w:t xml:space="preserve">Zitiervorschlag: § 142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