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140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Geschäftsgang wird durch eine Geschäftsordnung geregelt, die das Plenum beschließt.</w:t>
      </w:r>
    </w:p>
    <w:p>
      <w:r>
        <w:rPr>
          <w:color w:val="555555"/>
          <w:sz w:val="17"/>
        </w:rPr>
        <w:t xml:space="preserve">Zitiervorschlag: § 140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