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GVG</w:t>
      </w:r>
    </w:p>
    <w:p>
      <w:r>
        <w:rPr>
          <w:color w:val="555555"/>
          <w:sz w:val="18"/>
        </w:rPr>
        <w:t xml:space="preserve">Gerichtsverfassungsgesetz</w:t>
      </w:r>
    </w:p>
    <w:p>
      <w:r>
        <w:rPr>
          <w:color w:val="555555"/>
          <w:sz w:val="18"/>
        </w:rPr>
        <w:t xml:space="preserve">Stand: 17.12.2019 (konsolidierte Textfassung, kein amtliches Inkrafttretensdatum)</w:t>
      </w:r>
    </w:p>
    <w:p>
      <w:r>
        <w:t xml:space="preserve">(1) In Strafsachen ist der Bundesgerichtshof zuständig zur Verhandlung und Entscheidung über das Rechtsmittel der Revision gegen die Urteile der Oberlandesgerichte im ersten Rechtszug sowie gegen die Urteile der Landgerichte im ersten Rechtszug, soweit nicht die Zuständigkeit der Oberlandesgerichte begründet ist.</w:t>
      </w:r>
    </w:p>
    <w:p>
      <w:r>
        <w:t xml:space="preserve">(2) Der Bundesgerichtshof entscheidet ferner über</w:t>
      </w:r>
    </w:p>
    <w:p>
      <w:pPr>
        <w:ind w:left="420"/>
      </w:pPr>
      <w:r>
        <w:t xml:space="preserve">1. Beschwerden gegen Beschlüsse und Verfügungen der Oberlandesgerichte in den in § 138d Absatz 6 Satz 1, § 304 Absatz 4 Satz 2 und § 310 Absatz 1 der Strafprozessordnung bezeichneten Fällen,</w:t>
      </w:r>
    </w:p>
    <w:p>
      <w:pPr>
        <w:ind w:left="420"/>
      </w:pPr>
      <w:r>
        <w:t xml:space="preserve">2. Beschwerden gegen Verfügungen des Ermittlungsrichters des Bundesgerichtshofes (§ 169 Absatz 1 Satz 2 der Strafprozessordnung) in den in § 304 Absatz 5 der Strafprozessordnung bezeichneten Fällen sowie</w:t>
      </w:r>
    </w:p>
    <w:p>
      <w:pPr>
        <w:ind w:left="420"/>
      </w:pPr>
      <w:r>
        <w:t xml:space="preserve">3. Einwände gegen die Besetzung eines Oberlandesgerichts im Fall des § 222b Absatz 3 Satz 1 der Strafprozessordnung.</w:t>
      </w:r>
    </w:p>
    <w:p>
      <w:r>
        <w:rPr>
          <w:color w:val="555555"/>
          <w:sz w:val="17"/>
        </w:rPr>
        <w:t xml:space="preserve">Zitiervorschlag: § 135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