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dem Bundesgerichtshof werden Zivil- und Strafsenate gebildet und Ermittlungsrichter bestellt. Ihre Zahl bestimmt der Bundesminister der Justiz und für Verbraucherschutz.</w:t>
      </w:r>
    </w:p>
    <w:p>
      <w:r>
        <w:t xml:space="preserve">(2) Der Bundesminister der Justiz und für Verbraucherschutz wird ermächtigt, Zivil- und Strafsenate auch außerhalb des Sitzes des Bundesgerichtshofes zu bilden und die Dienstsitze für Ermittlungsrichter des Bundesgerichtshofes zu bestimmen.</w:t>
      </w:r>
    </w:p>
    <w:p>
      <w:r>
        <w:rPr>
          <w:color w:val="555555"/>
          <w:sz w:val="17"/>
        </w:rPr>
        <w:t xml:space="preserve">Zitiervorschlag: § 130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