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GVG</w:t>
      </w:r>
    </w:p>
    <w:p>
      <w:r>
        <w:rPr>
          <w:color w:val="555555"/>
          <w:sz w:val="18"/>
        </w:rPr>
        <w:t xml:space="preserve">Gerichtsverfassungsgesetz</w:t>
      </w:r>
    </w:p>
    <w:p>
      <w:r>
        <w:rPr>
          <w:color w:val="555555"/>
          <w:sz w:val="18"/>
        </w:rPr>
        <w:t xml:space="preserve">Stand: 10.06.2019 (konsolidierte Textfassung, kein amtliches Inkrafttretensdatum)</w:t>
      </w:r>
    </w:p>
    <w:p>
      <w:r>
        <w:t xml:space="preserve">Vor die ordentlichen Gerichte gehören die bürgerlichen Rechtsstreitigkeiten, die Familiensachen und die Angelegenheiten der freiwilligen Gerichtsbarkeit (Zivilsachen) sowie die Strafsachen, für die nicht entweder die Zuständigkeit von Verwaltungsbehörden oder Verwaltungsgerichten begründet ist oder auf Grund von Vorschriften des Bundesrechts besondere Gerichte bestellt oder zugelassen sind.</w:t>
      </w:r>
    </w:p>
    <w:p>
      <w:r>
        <w:rPr>
          <w:color w:val="555555"/>
          <w:sz w:val="17"/>
        </w:rPr>
        <w:t xml:space="preserve">Zitiervorschlag: § 13 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