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120a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im ersten Rechtszug ein Strafsenat die Anordnung der Sicherungsverwahrung vorbehalten oder im Fall des § 66b des Strafgesetzbuches als Tatgericht entschieden, ist dieser Strafsenat im ersten Rechtszug für die Verhandlung und Entscheidung über die im Urteil vorbehaltene oder die nachträgliche Anordnung der Sicherungsverwahrung zuständig.</w:t>
      </w:r>
    </w:p>
    <w:p>
      <w:r>
        <w:t xml:space="preserve">(2) Im Fall des § 66b des Strafgesetzbuches gilt § 462a Abs. 3 Satz 2 und 3 der Strafprozessordnung entsprechend.</w:t>
      </w:r>
    </w:p>
    <w:p>
      <w:r>
        <w:rPr>
          <w:color w:val="555555"/>
          <w:sz w:val="17"/>
        </w:rPr>
        <w:t xml:space="preserve">Zitiervorschlag: § 120a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https://recht.nulegal.eu/gesetze/GVG/120a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