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25.10.2023 (konsolidierte Textfassung, kein amtliches Inkrafttretensdatum)</w:t>
      </w:r>
    </w:p>
    <w:p>
      <w:r>
        <w:t xml:space="preserve">(1) Die Oberlandesgerichte sind in Zivilsachen zuständig für die Verhandlung und Entscheidung über die Rechtsmittel:</w:t>
      </w:r>
    </w:p>
    <w:p>
      <w:pPr>
        <w:ind w:left="420"/>
      </w:pPr>
      <w:r>
        <w:t xml:space="preserve">1. der Beschwerde gegen Entscheidungen der Amtsgerichte</w:t>
      </w:r>
    </w:p>
    <w:p>
      <w:pPr>
        <w:ind w:left="780"/>
      </w:pPr>
      <w:r>
        <w:t xml:space="preserve">a) in den von den Familiengerichten entschiedenen Sachen;</w:t>
      </w:r>
    </w:p>
    <w:p>
      <w:pPr>
        <w:ind w:left="780"/>
      </w:pPr>
      <w:r>
        <w:t xml:space="preserve">b) in den Angelegenheiten der freiwilligen Gerichtsbarkeit mit Ausnahme der Freiheitsentziehungssachen und der von den Betreuungsgerichten entschiedenen Sachen;</w:t>
      </w:r>
    </w:p>
    <w:p>
      <w:pPr>
        <w:ind w:left="420"/>
      </w:pPr>
      <w:r>
        <w:t xml:space="preserve">2. der Berufung und der Beschwerde gegen Entscheidungen der Landgerichte.</w:t>
      </w:r>
    </w:p>
    <w:p>
      <w:r>
        <w:t xml:space="preserve">(2) § 23b Absatz 1, 2 und 3 Satz 3 und 4 gilt entsprechend.</w:t>
      </w:r>
    </w:p>
    <w:p>
      <w:r>
        <w:rPr>
          <w:color w:val="555555"/>
          <w:sz w:val="17"/>
        </w:rPr>
        <w:t xml:space="preserve">Zitiervorschlag: § 119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