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den Oberlandesgerichten werden Zivil- und Strafsenate gebildet. Bei den nach § 120 zuständigen Oberlandesgerichten werden Ermittlungsrichter bestellt; zum Ermittlungsrichter kann auch jedes Mitglied eines anderen Oberlandesgerichts, das in dem in § 120 bezeichneten Gebiet seinen Sitz hat, bestellt werden.</w:t>
      </w:r>
    </w:p>
    <w:p>
      <w:r>
        <w:t xml:space="preserve">(2) Die Landesregierungen werden ermächtigt, durch Rechtsverordnung außerhalb des Sitzes des Oberlandesgerichts für den Bezirk eines oder mehrerer Landgerichte Zivil- oder Strafsenate zu bilden und ihnen für diesen Bezirk die gesamte Tätigkeit des Zivil- oder Strafsenats des Oberlandesgerichts oder einen Teil dieser Tätigkeit zuzuweisen. Ein auswärtiger Senat für Familiensachen kann für die Bezirke mehrerer Familiengerichte gebildet werden.</w:t>
      </w:r>
    </w:p>
    <w:p>
      <w:r>
        <w:t xml:space="preserve">(3) Die Landesregierungen können die Ermächtigung nach Absatz 2 auf die Landesjustizverwaltungen übertragen.</w:t>
      </w:r>
    </w:p>
    <w:p>
      <w:r>
        <w:rPr>
          <w:color w:val="555555"/>
          <w:sz w:val="17"/>
        </w:rPr>
        <w:t xml:space="preserve">Zitiervorschlag: § 116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