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ehrenamtlicher Richter ist seines Amtes zu entheben, wenn er</w:t>
      </w:r>
    </w:p>
    <w:p>
      <w:pPr>
        <w:ind w:left="420"/>
      </w:pPr>
      <w:r>
        <w:t xml:space="preserve">1. eine der für seine Ernennung erforderlichen Eigenschaften verliert oder Umstände eintreten oder nachträglich bekanntwerden, die einer Ernennung nach § 109 entgegenstehen, oder</w:t>
      </w:r>
    </w:p>
    <w:p>
      <w:pPr>
        <w:ind w:left="420"/>
      </w:pPr>
      <w:r>
        <w:t xml:space="preserve">2. seine Amtspflichten gröblich verletzt hat.</w:t>
      </w:r>
    </w:p>
    <w:p>
      <w:r>
        <w:t xml:space="preserve">(2) Ein ehrenamtlicher Richter soll seines Amtes enthoben werden, wenn Umstände eintreten oder bekannt werden, bei deren Vorhandensein eine Ernennung nach § 109 Abs. 3 Satz 2 nicht erfolgen soll.</w:t>
      </w:r>
    </w:p>
    <w:p>
      <w:r>
        <w:t xml:space="preserve">(3) Die Entscheidung trifft der erste Zivilsenat des Oberlandesgerichts durch Beschluß nach Anhörung des Beteiligten. Sie ist unanfechtbar.</w:t>
      </w:r>
    </w:p>
    <w:p>
      <w:r>
        <w:t xml:space="preserve">(4) Beantragt der ehrenamtliche Richter selbst die Entbindung von seinem Amt, so trifft die Entscheidung die Landesjustizverwaltung.</w:t>
      </w:r>
    </w:p>
    <w:p>
      <w:r>
        <w:rPr>
          <w:color w:val="555555"/>
          <w:sz w:val="17"/>
        </w:rPr>
        <w:t xml:space="preserve">Zitiervorschlag: § 113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