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ehrenamtlichen Richter, die weder ihren Wohnsitz noch ihre gewerbliche Niederlassung am Sitz der Kammer für Handelssachen haben, erhalten Tage- und Übernachtungsgelder nach den für Richter am Landgericht geltenden Vorschriften.</w:t>
      </w:r>
    </w:p>
    <w:p>
      <w:r>
        <w:t xml:space="preserve">(2) Den ehrenamtlichen Richtern werden die Fahrtkosten in entsprechender Anwendung des § 5 des Justizvergütungs- und -entschädigungsgesetzes ersetzt.</w:t>
      </w:r>
    </w:p>
    <w:p>
      <w:r>
        <w:rPr>
          <w:color w:val="555555"/>
          <w:sz w:val="17"/>
        </w:rPr>
        <w:t xml:space="preserve">Zitiervorschlag: § 107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https://recht.nulegal.eu/gesetze/GVG/107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