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GVFV — (zu § 1 Absatz 1)</w:t>
      </w:r>
    </w:p>
    <w:p>
      <w:r>
        <w:rPr>
          <w:color w:val="555555"/>
          <w:sz w:val="18"/>
        </w:rPr>
        <w:t xml:space="preserve">Gerichtsvollzieherformular-Verordnung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(Fundstelle: BGBl. I 2016, 2603 - 2612)</w:t>
      </w:r>
    </w:p>
    <w:p>
      <w:r>
        <w:t xml:space="preserve">Vollstreckungsauftrag an die Gerichtsvollzieherin/den Gerichtsvollzieher – zur Vollstreckung von Geldforderungen –</w:t>
      </w:r>
    </w:p>
    <w:p>
      <w:r>
        <w:rPr>
          <w:color w:val="555555"/>
          <w:sz w:val="17"/>
        </w:rPr>
        <w:t xml:space="preserve">Zitiervorschlag: Anlage GVFV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https://recht.nulegal.eu/gesetze/GVFV/anlage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