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GVFG — Voraussetzungen der Förderung</w:t>
      </w:r>
    </w:p>
    <w:p>
      <w:r>
        <w:rPr>
          <w:color w:val="555555"/>
          <w:sz w:val="18"/>
        </w:rPr>
        <w:t xml:space="preserve">Gemeindeverkehrsfinanzierungsgesetz</w:t>
      </w:r>
    </w:p>
    <w:p>
      <w:r>
        <w:rPr>
          <w:color w:val="555555"/>
          <w:sz w:val="18"/>
        </w:rPr>
        <w:t xml:space="preserve">Stand: 13.03.2020 (konsolidierte Textfassung, kein amtliches Inkrafttretensdatum)</w:t>
      </w:r>
    </w:p>
    <w:p>
      <w:r>
        <w:t xml:space="preserve">Voraussetzung für die Förderung nach § 2 ist, daß</w:t>
      </w:r>
    </w:p>
    <w:p>
      <w:pPr>
        <w:ind w:left="420"/>
      </w:pPr>
      <w:r>
        <w:t xml:space="preserve">1. das Vorhaben</w:t>
      </w:r>
    </w:p>
    <w:p>
      <w:pPr>
        <w:ind w:left="780"/>
      </w:pPr>
      <w:r>
        <w:t xml:space="preserve">a) nach Art und Umfang zur Verbesserung der Verkehrsverhältnisse dringend erforderlich ist und die Ziele der Raumordnung und Landesplanung berücksichtigt,</w:t>
      </w:r>
    </w:p>
    <w:p>
      <w:pPr>
        <w:ind w:left="780"/>
      </w:pPr>
      <w:r>
        <w:t xml:space="preserve">b) in einem Nahverkehrsplan oder einem für die Beurteilung gleichwertigen Plan vorgesehen ist,</w:t>
      </w:r>
    </w:p>
    <w:p>
      <w:pPr>
        <w:ind w:left="780"/>
      </w:pPr>
      <w:r>
        <w:t xml:space="preserve">c) bau- und verkehrstechnisch einwandfrei und unter Beachtung des Grundsatzes der Wirtschaftlichkeit und Sparsamkeit geplant ist; es kann in besonderem Bundesinteresse liegen, bestimmte Kriterien im Bewertungsverfahren vorhabenspezifisch stärker zu gewichten, zum Beispiel Klima- und Umweltschutz, Verkehrsverlagerung oder Aspekte der Daseinsvorsorge. Für Vorhaben nach § 2 Absatz 3 ist ein gesamtwirtschaftlicher Nachweis entbehrlich.</w:t>
      </w:r>
    </w:p>
    <w:p>
      <w:pPr>
        <w:ind w:left="780"/>
      </w:pPr>
      <w:r>
        <w:t xml:space="preserve">d) Belange behinderter und anderer Menschen mit Mobilitätsbeeinträchtigung berücksichtigt und den Anforderungen der Barrierefreiheit möglichst weitreichend entspricht. Bei der Vorhabenplanung sind die zuständigen Behindertenbeauftragten oder Behindertenbeiräte anzuhören. Verfügt eine Gebietskörperschaft nicht über Behindertenbeauftragte oder Behindertenbeiräte sind stattdessen die entsprechenden Verbände im Sinne des § 5 des Behindertengleichstellungsgesetzes anzuhören.</w:t>
      </w:r>
    </w:p>
    <w:p>
      <w:pPr>
        <w:ind w:left="420"/>
      </w:pPr>
      <w:r>
        <w:t xml:space="preserve">2. die übrige Finanzierung des Vorhabens oder eines Bauabschnittes des Vorhabens mit eigener Verkehrsbedeutung gewährleistet ist,</w:t>
      </w:r>
    </w:p>
    <w:p>
      <w:r>
        <w:t xml:space="preserve">3. (weggefallen)</w:t>
      </w:r>
    </w:p>
    <w:p>
      <w:r>
        <w:rPr>
          <w:color w:val="555555"/>
          <w:sz w:val="17"/>
        </w:rPr>
        <w:t xml:space="preserve">Zitiervorschlag: § 3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