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GVFG — Förderungsfähige Vorhaben</w:t>
      </w:r>
    </w:p>
    <w:p>
      <w:r>
        <w:rPr>
          <w:color w:val="555555"/>
          <w:sz w:val="18"/>
        </w:rPr>
        <w:t xml:space="preserve">Gemeindeverkehrsfinanzierungsgesetz</w:t>
      </w:r>
    </w:p>
    <w:p>
      <w:r>
        <w:rPr>
          <w:color w:val="555555"/>
          <w:sz w:val="18"/>
        </w:rPr>
        <w:t xml:space="preserve">Stand: 13.03.2020 (konsolidierte Textfassung, kein amtliches Inkrafttretensdatum)</w:t>
      </w:r>
    </w:p>
    <w:p>
      <w:r>
        <w:t xml:space="preserve">(1) Die Länder können folgende Vorhaben durch Zuwendungen aus den Finanzhilfen fördern, soweit sie dem öffentlichen Personennahverkehr dienen und überwiegend auf besonderem Bahnkörper oder auf Streckenabschnitten, die eine Bevorrechtigung der Bahnen durch geeignete Bauformen beziehungsweise Fahrleitsysteme sicherstellen, geführt werden:</w:t>
      </w:r>
    </w:p>
    <w:p>
      <w:pPr>
        <w:ind w:left="420"/>
      </w:pPr>
      <w:r>
        <w:t xml:space="preserve">1. Bau oder Ausbau von Verkehrswegen der</w:t>
      </w:r>
    </w:p>
    <w:p>
      <w:pPr>
        <w:ind w:left="780"/>
      </w:pPr>
      <w:r>
        <w:t xml:space="preserve">a) Straßenbahnen, Hoch- und Untergrundbahnen sowie Bahnen besonderer Bauart,</w:t>
      </w:r>
    </w:p>
    <w:p>
      <w:pPr>
        <w:ind w:left="780"/>
      </w:pPr>
      <w:r>
        <w:t xml:space="preserve">b) nichtbundeseigenen Eisenbahnen,</w:t>
      </w:r>
    </w:p>
    <w:p>
      <w:pPr>
        <w:ind w:left="780"/>
      </w:pPr>
      <w:r>
        <w:t xml:space="preserve">c) Seilbahnsysteme, sofern die nach dem Beihilferecht der Europäischen Union zu beachtenden Voraussetzungen vorliegen,</w:t>
      </w:r>
    </w:p>
    <w:p>
      <w:pPr>
        <w:ind w:left="420"/>
      </w:pPr>
      <w:r>
        <w:t xml:space="preserve">2. Reaktivierung oder Elektrifizierung von Schienenstrecken; Tank- und Ladeinfrastruktur für alternative Antriebe, sofern die nach dem Beihilferecht der Europäischen Union zu beachtenden Voraussetzungen vorliegen, und</w:t>
      </w:r>
    </w:p>
    <w:p>
      <w:pPr>
        <w:ind w:left="420"/>
      </w:pPr>
      <w:r>
        <w:t xml:space="preserve">3. Investitionen in Schienenstrecken zur Kapazitätserhöhung der Verkehrsinfrastruktur.</w:t>
      </w:r>
    </w:p>
    <w:p>
      <w:r>
        <w:t xml:space="preserve">(2) Die Länder können zum Erreichen von Klimazielen befristet bis zum Jahr 2030 und nachrangig zu § 2 Absatz 1 folgende Vorhaben durch Zuwendungen aus den Finanzhilfen fördern, soweit sie dem öffentlichen Personennahverkehr dienen:</w:t>
      </w:r>
    </w:p>
    <w:p>
      <w:pPr>
        <w:ind w:left="420"/>
      </w:pPr>
      <w:r>
        <w:t xml:space="preserve">1. Bau und Ausbau von Bahnhöfen und Haltestellen des schienengebundenen öffentlichen Personennahverkehrs,</w:t>
      </w:r>
    </w:p>
    <w:p>
      <w:pPr>
        <w:ind w:left="420"/>
      </w:pPr>
      <w:r>
        <w:t xml:space="preserve">2. Bau und Ausbau von Umsteigeanlagen zum schienengebundenen öffentlichen Personennahverkehr in kommunaler Baulast (zum Beispiel Bau und Ausbau von zentralen Omnibusbahnhöfen), sofern sie Ladeinfrastrukturen für Kraftfahrzeuge mit alternativen Antrieben bereitstellen.</w:t>
      </w:r>
    </w:p>
    <w:p>
      <w:r>
        <w:t xml:space="preserve">(3) Die Länder können befristet bis zum Jahr 2030 und nachrangig zu § 2 Absatz 1 folgende Vorhaben durch Zuwendungen aus den Finanzhilfen fördern, soweit sie dem öffentlichen Personennahverkehr dienen, überwiegend auf besonderem Bahnkörper oder auf Streckenabschnitten, die eine Bevorrechtigung der Bahnen durch geeignete Bauformen beziehungsweise Fahrleitsysteme sicherstellen, geführt werden und die Länder nachweisen, dass die notwendigen Instandhaltungsmaßnahmen vollumfänglich und ordnungsgemäß durchgeführt wurden:</w:t>
      </w:r>
    </w:p>
    <w:p>
      <w:pPr>
        <w:ind w:left="420"/>
      </w:pPr>
      <w:r>
        <w:t xml:space="preserve">1. Grunderneuerung von Verkehrswegen der Straßenbahnen, Hoch- und Untergrundbahnen sowie Bahnen besonderer Bauart, und</w:t>
      </w:r>
    </w:p>
    <w:p>
      <w:pPr>
        <w:ind w:left="420"/>
      </w:pPr>
      <w:r>
        <w:t xml:space="preserve">2. Grunderneuerung von Verkehrswegen der nichtbundeseigenen Eisenbahnen.</w:t>
      </w:r>
    </w:p>
    <w:p>
      <w:r>
        <w:rPr>
          <w:color w:val="555555"/>
          <w:sz w:val="17"/>
        </w:rPr>
        <w:t xml:space="preserve">Zitiervorschlag: § 2 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https://recht.nulegal.eu/gesetze/GVFG/2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