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GVFG — Zweckbindung und Verteilung der Mittel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Für Vorhaben zur Verbesserung der Verkehrsverhältnisse der Gemeinden nach Maßgabe dieses Gesetzes stehen folgende Beträge zur Verfügung:</w:t>
      </w:r>
    </w:p>
    <w:p>
      <w:pPr>
        <w:ind w:left="420"/>
      </w:pPr>
      <w:r>
        <w:t xml:space="preserve">1. im Jahr 2020 insgesamt 665,134 Millionen Euro,</w:t>
      </w:r>
    </w:p>
    <w:p>
      <w:pPr>
        <w:ind w:left="420"/>
      </w:pPr>
      <w:r>
        <w:t xml:space="preserve">2. in den Jahren 2021 bis 2024 jährlich 1 000 Millionen Euro und</w:t>
      </w:r>
    </w:p>
    <w:p>
      <w:pPr>
        <w:ind w:left="420"/>
      </w:pPr>
      <w:r>
        <w:t xml:space="preserve">3. im Jahr 2025 jährlich 2 000 Millionen Euro.</w:t>
      </w:r>
    </w:p>
    <w:p>
      <w:r>
        <w:t xml:space="preserve">Der Betrag nach Nummer 3 steigt ab dem Jahr 2026 jährlich um 1,8 Prozent.</w:t>
      </w:r>
    </w:p>
    <w:p>
      <w:r>
        <w:t xml:space="preserve">(2) Für Forschungszwecke steht dem Bundesministerium für Verkehr und digitale Infrastruktur neben den Mitteln nach Absatz 1 ein Betrag von jährlich 4,167 Millionen Euro zur Verfügung. Dieser Betrag kann, zu Lasten der Mittel nach Absatz 1, auf bis zu 8,334 Millionen Euro jährlich erhöht werden.</w:t>
      </w:r>
    </w:p>
    <w:p>
      <w:r>
        <w:t xml:space="preserve">(3) (weggefallen)</w:t>
      </w:r>
    </w:p>
    <w:p>
      <w:r>
        <w:t xml:space="preserve">(4) (weggefallen)</w:t>
      </w:r>
    </w:p>
    <w:p>
      <w:r>
        <w:rPr>
          <w:color w:val="555555"/>
          <w:sz w:val="17"/>
        </w:rPr>
        <w:t xml:space="preserve">Zitiervorschlag: § 10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