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GVBEntschV 2001-2003 (Bayern)</w:t>
      </w:r>
    </w:p>
    <w:p>
      <w:r>
        <w:rPr>
          <w:color w:val="555555"/>
          <w:sz w:val="18"/>
        </w:rPr>
        <w:t xml:space="preserve">GerichtsvollzieherbürokostenentschädigungsVO 2001-2003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§ 49 Abs. 3 des Bundesbesoldungsgesetzes in der Fassung der Bekanntmachung vom 6. August 2002 (BGBl. I S. 3020), zuletzt geändert durch Art. 3 des Gesetzes vom 19. Juli 2007 (BGBl. I S. 1457), in Verbindung mit § 3 Nr. 1 der Verordnung über die Zuständigkeit zum Erlass von Rechtsverordnungen (Delegationsverordnung – DelV) vom 15. Juni 2004 (GVBl S. 239. BayRS 103-2-S), zuletzt geändert durch Verordnung vom 6. März 2007 (GVBl S. 213), erlässt das Bayerische Staatsministerium der Justiz im Einvernehmen mit dem Bayerischen Staatsministerium der Finanzen folgende Verordnung:</w:t>
      </w:r>
    </w:p>
    <w:p>
      <w:r>
        <w:rPr>
          <w:color w:val="555555"/>
          <w:sz w:val="17"/>
        </w:rPr>
        <w:t xml:space="preserve">Zitiervorschlag: Eingangsformel GVBEntschV 2001-2003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https://recht.nulegal.eu/gesetze/GVBEntschV%202001-2003/eingangsformel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