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GVAO (Nordrhein-Westfalen)</w:t>
      </w:r>
    </w:p>
    <w:p>
      <w:r>
        <w:rPr>
          <w:color w:val="555555"/>
          <w:sz w:val="18"/>
        </w:rPr>
        <w:t xml:space="preserve">Gerichtsvollzieherausbildungsordnung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16. November 2017</w:t>
      </w:r>
    </w:p>
    <w:p>
      <w:r>
        <w:t xml:space="preserve">Auf Grund des § 7 Absatz 2 Satz 1 des Landesbeamtengesetzes vom 14. Juni 2016 (GV. NRW. S. 310, ber. S. 642) verordnet das Ministerium der Justiz im Einvernehmen mit den Ministerien des Innern und der Finanzen:</w:t>
      </w:r>
    </w:p>
    <w:p>
      <w:r>
        <w:t xml:space="preserve">Inhaltsübersicht</w:t>
      </w:r>
    </w:p>
    <w:p>
      <w:r>
        <w:t xml:space="preserve">Abschnitt 1</w:t>
      </w:r>
    </w:p>
    <w:p>
      <w:r>
        <w:t xml:space="preserve">Allgemeine Bestimmungen</w:t>
      </w:r>
    </w:p>
    <w:p>
      <w:r>
        <w:t xml:space="preserve">§ 1 Erwerb der Befähigung</w:t>
      </w:r>
    </w:p>
    <w:p>
      <w:r>
        <w:t xml:space="preserve">§ 2 Voraussetzungen der Zulassung</w:t>
      </w:r>
    </w:p>
    <w:p>
      <w:r>
        <w:t xml:space="preserve">§ 3 Zulassung sonstiger Bewerberinnen und Bewerber</w:t>
      </w:r>
    </w:p>
    <w:p>
      <w:r>
        <w:t xml:space="preserve">§ 4 Bewerbung und Zulassung</w:t>
      </w:r>
    </w:p>
    <w:p>
      <w:r>
        <w:t xml:space="preserve">§ 5 Vorbereitende Beschäftigung</w:t>
      </w:r>
    </w:p>
    <w:p>
      <w:r>
        <w:t xml:space="preserve">§ 6 Amtsbezeichnung und Dienstbezeichnung, Besoldung</w:t>
      </w:r>
    </w:p>
    <w:p>
      <w:r>
        <w:t xml:space="preserve">Abschnitt 2</w:t>
      </w:r>
    </w:p>
    <w:p>
      <w:r>
        <w:t xml:space="preserve">Eignungslehrgang</w:t>
      </w:r>
    </w:p>
    <w:p>
      <w:r>
        <w:t xml:space="preserve">§ 7 Funktion des Eignungslehrgangs, Bewerbung, Zulassung, Status</w:t>
      </w:r>
    </w:p>
    <w:p>
      <w:r>
        <w:t xml:space="preserve">§ 8 Dauer des Eignungslehrgangs, Leitung</w:t>
      </w:r>
    </w:p>
    <w:p>
      <w:r>
        <w:t xml:space="preserve">§ 9 Gliederung des Eignungslehrgangs</w:t>
      </w:r>
    </w:p>
    <w:p>
      <w:r>
        <w:t xml:space="preserve">§ 10 Erster und Dritter Ausbildungsabschnitt</w:t>
      </w:r>
    </w:p>
    <w:p>
      <w:r>
        <w:t xml:space="preserve">§ 11 Zweiter Ausbildungsabschnitt</w:t>
      </w:r>
    </w:p>
    <w:p>
      <w:r>
        <w:t xml:space="preserve">§ 12 Vierter Ausbildungsabschnitt</w:t>
      </w:r>
    </w:p>
    <w:p>
      <w:r>
        <w:t xml:space="preserve">§ 13 Eignungsentscheidung</w:t>
      </w:r>
    </w:p>
    <w:p>
      <w:r>
        <w:t xml:space="preserve">Abschnitt 3</w:t>
      </w:r>
    </w:p>
    <w:p>
      <w:r>
        <w:t xml:space="preserve">Einführungszeit</w:t>
      </w:r>
    </w:p>
    <w:p>
      <w:r>
        <w:t xml:space="preserve">§ 14 Ausbildungsziel, Ausbildungszweck</w:t>
      </w:r>
    </w:p>
    <w:p>
      <w:r>
        <w:t xml:space="preserve">§ 15 Dauer und Gliederung der Einführungszeit</w:t>
      </w:r>
    </w:p>
    <w:p>
      <w:r>
        <w:t xml:space="preserve">§ 16 Ausbildungsstelle</w:t>
      </w:r>
    </w:p>
    <w:p>
      <w:r>
        <w:t xml:space="preserve">§ 17 Leitung und Organisation der praktischen Ausbildung</w:t>
      </w:r>
    </w:p>
    <w:p>
      <w:r>
        <w:t xml:space="preserve">§ 18 Fachtheoretische Ausbildung (erster, dritter und fünfter Ausbildungsabschnitt)</w:t>
      </w:r>
    </w:p>
    <w:p>
      <w:r>
        <w:t xml:space="preserve">§ 19 Fachpraktische Ausbildung (zweiter und vierter Ausbildungsabschnitt)</w:t>
      </w:r>
    </w:p>
    <w:p>
      <w:r>
        <w:t xml:space="preserve">§ 20 Begleitunterricht</w:t>
      </w:r>
    </w:p>
    <w:p>
      <w:r>
        <w:t xml:space="preserve">§ 21 Zeugnisse</w:t>
      </w:r>
    </w:p>
    <w:p>
      <w:r>
        <w:t xml:space="preserve">§ 22 Widerruf</w:t>
      </w:r>
    </w:p>
    <w:p>
      <w:r>
        <w:t xml:space="preserve">Abschnitt 4</w:t>
      </w:r>
    </w:p>
    <w:p>
      <w:r>
        <w:t xml:space="preserve">Gerichtsvollzieherprüfung</w:t>
      </w:r>
    </w:p>
    <w:p>
      <w:r>
        <w:t xml:space="preserve">§ 23 Prüfung</w:t>
      </w:r>
    </w:p>
    <w:p>
      <w:r>
        <w:t xml:space="preserve">§ 24 Prüfungsausschuss</w:t>
      </w:r>
    </w:p>
    <w:p>
      <w:r>
        <w:t xml:space="preserve">§ 25 Zulassung zur Prüfung</w:t>
      </w:r>
    </w:p>
    <w:p>
      <w:r>
        <w:t xml:space="preserve">§ 26 Prüfungsverfahren</w:t>
      </w:r>
    </w:p>
    <w:p>
      <w:r>
        <w:t xml:space="preserve">§ 27 Schriftliche Prüfung</w:t>
      </w:r>
    </w:p>
    <w:p>
      <w:r>
        <w:t xml:space="preserve">§ 28 Bewertung der schriftlichen Prüfungsarbeiten</w:t>
      </w:r>
    </w:p>
    <w:p>
      <w:r>
        <w:t xml:space="preserve">§ 29 Nichtbestehen vor der mündlichen Prüfung</w:t>
      </w:r>
    </w:p>
    <w:p>
      <w:r>
        <w:t xml:space="preserve">§ 30 Mündliche Prüfung</w:t>
      </w:r>
    </w:p>
    <w:p>
      <w:r>
        <w:t xml:space="preserve">§ 31 Abstimmungen, Vorbereitung der abschließenden Entscheidung</w:t>
      </w:r>
    </w:p>
    <w:p>
      <w:r>
        <w:t xml:space="preserve">§ 32 Schlussberatung und Schlussentscheidung</w:t>
      </w:r>
    </w:p>
    <w:p>
      <w:r>
        <w:t xml:space="preserve">§ 33 Niederschrift über den Prüfungshergang, Erteilung der Zeugnisse</w:t>
      </w:r>
    </w:p>
    <w:p>
      <w:r>
        <w:t xml:space="preserve">§ 34 Versäumung der Prüfungstermine, Nichtablieferung von Prüfungsarbeiten</w:t>
      </w:r>
    </w:p>
    <w:p>
      <w:r>
        <w:t xml:space="preserve">§ 35 Verstöße gegen Prüfungsbestimmungen</w:t>
      </w:r>
    </w:p>
    <w:p>
      <w:r>
        <w:t xml:space="preserve">§ 36 Wiederholung der Prüfung</w:t>
      </w:r>
    </w:p>
    <w:p>
      <w:r>
        <w:t xml:space="preserve">§ 37 Status und Tätigkeit nach bestandener Prüfung</w:t>
      </w:r>
    </w:p>
    <w:p>
      <w:r>
        <w:t xml:space="preserve">Abschnitt 5</w:t>
      </w:r>
    </w:p>
    <w:p>
      <w:r>
        <w:t xml:space="preserve">Regelungen für Menschen mit Behinderungen</w:t>
      </w:r>
    </w:p>
    <w:p>
      <w:r>
        <w:t xml:space="preserve">§ 38 Regelungen für Menschen mit Behinderungen</w:t>
      </w:r>
    </w:p>
    <w:p>
      <w:r>
        <w:t xml:space="preserve">Abschnitt 6</w:t>
      </w:r>
    </w:p>
    <w:p>
      <w:r>
        <w:t xml:space="preserve">Schlussvorschriften</w:t>
      </w:r>
    </w:p>
    <w:p>
      <w:r>
        <w:t xml:space="preserve">§ 39 Inkrafttreten, Außerkrafttreten, Übergangsregelung</w:t>
      </w:r>
    </w:p>
    <w:p>
      <w:r>
        <w:t xml:space="preserve">Abschnitt 1</w:t>
      </w:r>
    </w:p>
    <w:p>
      <w:r>
        <w:t xml:space="preserve">Allgemeine Bestimmungen</w:t>
      </w:r>
    </w:p>
    <w:p>
      <w:r>
        <w:rPr>
          <w:color w:val="555555"/>
          <w:sz w:val="17"/>
        </w:rPr>
        <w:t xml:space="preserve">Zitiervorschlag: Volltext GVAO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https://recht.nulegal.eu/gesetze/GVAO/volltext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