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GV (Brandenburg) — Netzwerk</w:t>
      </w:r>
    </w:p>
    <w:p>
      <w:r>
        <w:rPr>
          <w:color w:val="555555"/>
          <w:sz w:val="18"/>
        </w:rPr>
        <w:t xml:space="preserve">Grundschulverordnung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Netzwerk Grund- und Förderschulen ist die gemeinsame Arbeits- und Kooperationsplattform der Schulen sowie der obersten und der unteren Schulbehörden im Land Brandenburg.</w:t>
      </w:r>
    </w:p>
    <w:p>
      <w:r>
        <w:t xml:space="preserve">(2) Das Netzwerk hat die Aufgabe, bildungspolitische und regionale Schwerpunktsetzungen umzusetzen, um die Qualität von Schule und Unterricht zu entwickeln.</w:t>
      </w:r>
    </w:p>
    <w:p>
      <w:r>
        <w:t xml:space="preserve">(3) Die Zielerreichung wird durch das für Schule zuständige Ministerium jährlich auf der Grundlage eines Berichtswesens festgestellt.</w:t>
      </w:r>
    </w:p>
    <w:p>
      <w:r>
        <w:rPr>
          <w:color w:val="555555"/>
          <w:sz w:val="17"/>
        </w:rPr>
        <w:t xml:space="preserve">Zitiervorschlag: § 3 GV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