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GUVG (Brandenburg) — Inkrafttreten, Außerkrafttreten</w:t>
      </w:r>
    </w:p>
    <w:p>
      <w:r>
        <w:rPr>
          <w:color w:val="555555"/>
          <w:sz w:val="18"/>
        </w:rPr>
        <w:t xml:space="preserve">Gesetz über die Bildung von Gewässerunterhaltungsverbänden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Dieses Gesetz tritt am Tage nach der Verkündung in Kraft. Gleichzeitig tritt die Verordnung über die Wasser- und Bodenverbände zur Unterhaltung, zum Ausbau und zur Renaturierung der Gewässer II. Ordnung vom 26. Mai 1993 ( GVBl. II S. 262) außer Kraft.</w:t>
      </w:r>
    </w:p>
    <w:p>
      <w:r>
        <w:t xml:space="preserve">Potsdam, den 13. März 1995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7 GUVG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https://recht.nulegal.eu/gesetze/GUVG/7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