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GUVG (Brandenburg) — Satzung</w:t>
      </w:r>
    </w:p>
    <w:p>
      <w:r>
        <w:rPr>
          <w:color w:val="555555"/>
          <w:sz w:val="18"/>
        </w:rPr>
        <w:t xml:space="preserve">Gesetz über die Bildung von Gewässerunterhaltungsverbänden</w:t>
      </w:r>
    </w:p>
    <w:p>
      <w:r>
        <w:rPr>
          <w:color w:val="555555"/>
          <w:sz w:val="18"/>
        </w:rPr>
        <w:t xml:space="preserve">Landesrecht Brandenburg</w:t>
      </w:r>
    </w:p>
    <w:p>
      <w:r>
        <w:rPr>
          <w:color w:val="555555"/>
          <w:sz w:val="18"/>
        </w:rPr>
        <w:t xml:space="preserve">Stand: 30.07.2026 (konsolidierte Textfassung, kein amtliches Inkrafttretensdatum)</w:t>
      </w:r>
    </w:p>
    <w:p>
      <w:r>
        <w:t xml:space="preserve">Die Rechtsverhältnisse der Gewässerunterhaltungsverbände und die Rechtsbeziehungen zu den Verbandsmitgliedern bestimmen sich nach den Verbandssatzungen. In den Verbandssatzungen ist die Stimmenzahl der Mitglieder in der Verbandsversammlung entsprechend dem Verhältnis der Beiträge festzulegen.</w:t>
      </w:r>
    </w:p>
    <w:p>
      <w:r>
        <w:rPr>
          <w:color w:val="555555"/>
          <w:sz w:val="17"/>
        </w:rPr>
        <w:t xml:space="preserve">Zitiervorschlag: § 4 GUVG (Brandenburg)</w:t>
      </w:r>
    </w:p>
    <w:p>
      <w:r>
        <w:rPr>
          <w:color w:val="555555"/>
          <w:sz w:val="17"/>
        </w:rPr>
        <w:t xml:space="preserve">Quelle: bravors, abgerufen 30.07.2026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https://recht.nulegal.eu/gesetze/GUVG/4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