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GUVG (Brandenburg) — Anzuwendendes Recht</w:t>
      </w:r>
    </w:p>
    <w:p>
      <w:r>
        <w:rPr>
          <w:color w:val="555555"/>
          <w:sz w:val="18"/>
        </w:rPr>
        <w:t xml:space="preserve">Gesetz über die Bildung von Gewässerunterhaltungsverbänden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Auf die Verbände finden die Vorschriften des Wasserverbandsgesetzes und des Brandenburgischen Wassergesetzes Anwendung, soweit nicht in diesem Gesetz etwas anderes bestimmt ist.</w:t>
      </w:r>
    </w:p>
    <w:p>
      <w:r>
        <w:rPr>
          <w:color w:val="555555"/>
          <w:sz w:val="17"/>
        </w:rPr>
        <w:t xml:space="preserve">Zitiervorschlag: § 3 GUVG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https://recht.nulegal.eu/gesetze/GUVG/3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