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GUVAV (Brandenburg)</w:t>
      </w:r>
    </w:p>
    <w:p>
      <w:r>
        <w:rPr>
          <w:color w:val="555555"/>
          <w:sz w:val="18"/>
        </w:rPr>
        <w:t xml:space="preserve">Gewässerunterhaltungsverbandsaufsichtsverordnung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Dezember 2008 in Kraft.</w:t>
      </w:r>
    </w:p>
    <w:p>
      <w:r>
        <w:t xml:space="preserve">Potsdam, den 18. November 2008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</w:t>
      </w:r>
    </w:p>
    <w:p>
      <w:r>
        <w:t xml:space="preserve">Woidke</w:t>
      </w:r>
    </w:p>
    <w:p>
      <w:r>
        <w:rPr>
          <w:color w:val="555555"/>
          <w:sz w:val="17"/>
        </w:rPr>
        <w:t xml:space="preserve">Zitiervorschlag: § 2 GUVAV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https://recht.nulegal.eu/gesetze/GUVAV/2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