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GUVAV (Brandenburg)</w:t>
      </w:r>
    </w:p>
    <w:p>
      <w:r>
        <w:rPr>
          <w:color w:val="555555"/>
          <w:sz w:val="18"/>
        </w:rPr>
        <w:t xml:space="preserve">Gewässerunterhaltungsverbandsaufsichtsverordnung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</w:t>
      </w:r>
    </w:p>
    <w:p>
      <w:r>
        <w:t xml:space="preserve">für Wasserwirtschaft zuständige Ministerium nimmt die Rechtsaufsicht nach § 72 Abs. 1 des</w:t>
      </w:r>
    </w:p>
    <w:p>
      <w:r>
        <w:t xml:space="preserve">Wasserverbandsgesetzes vom 12. Februar 1991 (BGBl. I S. 405), das durch Gesetz</w:t>
      </w:r>
    </w:p>
    <w:p>
      <w:r>
        <w:t xml:space="preserve">vom 15. Mai 2002 (BGBl. I S. 1578) geändert worden ist, über die</w:t>
      </w:r>
    </w:p>
    <w:p>
      <w:r>
        <w:t xml:space="preserve">Gewässerunterhaltungsverbände wahr.</w:t>
      </w:r>
    </w:p>
    <w:p>
      <w:r>
        <w:rPr>
          <w:color w:val="555555"/>
          <w:sz w:val="17"/>
        </w:rPr>
        <w:t xml:space="preserve">Zitiervorschlag: § 1 GUVAV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https://recht.nulegal.eu/gesetze/GUVAV/1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