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GTNSitzAbkG</w:t>
      </w:r>
    </w:p>
    <w:p>
      <w:r>
        <w:rPr>
          <w:color w:val="555555"/>
          <w:sz w:val="18"/>
        </w:rPr>
        <w:t xml:space="preserve">Gesetz zu dem Abkommen vom 29. Juni 2012 zwischen der Bundesrepublik Deutschland und dem Globalen Treuhandfonds für Nutzpflanzenvielfalt über den Sitz des Globalen Treuhandfonds für Nutzpflanzenvielfalt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Artikel 24 Absatz 2 in Kraft tritt, ist im Bundesgesetzblatt bekannt zu geben.</w:t>
      </w:r>
    </w:p>
    <w:p>
      <w:r>
        <w:rPr>
          <w:color w:val="555555"/>
          <w:sz w:val="17"/>
        </w:rPr>
        <w:t xml:space="preserve">Zitiervorschlag: Art 3 GTNSitzAbkG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https://recht.nulegal.eu/gesetze/GTNSitzAbkG/3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