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GStVO-ArbG (Bayern)</w:t>
      </w:r>
    </w:p>
    <w:p>
      <w:r>
        <w:rPr>
          <w:color w:val="555555"/>
          <w:sz w:val="18"/>
        </w:rPr>
        <w:t xml:space="preserve">Verordnung über die Geschäftsstellen der Gerichte für Arbeitssachen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Gerichtsvorstand kann unbeschadet des § 6 mit den Aufgaben eines Urkundsbeamten der Geschäftsstelle ausnahmsweise auch Angestellte betrauen, wenn diese Bediensteten einen Wissens- und Leistungsstand auf dem zu übertragenden Sachgebiet aufweisen, der dem durch die Ausbildung nach § 153 Abs. 2 des Gerichtsverfassungsgesetzes vermittelten Stand gleichwertig ist. Die Gleichwertigkeit stellt der Gerichtsvorstand fest.</w:t>
      </w:r>
    </w:p>
    <w:p>
      <w:r>
        <w:t xml:space="preserve">(2) Die Übertragung ist nur für ein begrenztes Sachgebiet und nur dann zulässig, wenn ein dienstliches Bedürfnis hierfür besteht. Hierbei ist darauf zu achten, daß die haushalts- und tarifrechtlichen Voraussetzungen erfüllt sind.</w:t>
      </w:r>
    </w:p>
    <w:p>
      <w:r>
        <w:t xml:space="preserve">(3) Die Anordnung nach Absatz 1 ist schriftlich vorzunehmen. Sie kann zeitlich beschränkt werden, ist jederzeit widerruflich und gilt nur für die Dauer der Verwendung des Bediensteten bei dem Gericht, dessen Vorstand die Anordnung getroffen hat.</w:t>
      </w:r>
    </w:p>
    <w:p>
      <w:r>
        <w:t xml:space="preserve">(4) Die Absätze 1 und 3 gelten für die im Vorbereitungsdienst für den gehobenen und mittleren Dienst tätigen Beamten entsprechend.</w:t>
      </w:r>
    </w:p>
    <w:p>
      <w:r>
        <w:t xml:space="preserve">(5) § 10 gilt entsprechend.</w:t>
      </w:r>
    </w:p>
    <w:p>
      <w:r>
        <w:t xml:space="preserve">[Amtl. Anm.:] BGBl. FN 300-2</w:t>
      </w:r>
    </w:p>
    <w:p>
      <w:r>
        <w:rPr>
          <w:color w:val="555555"/>
          <w:sz w:val="17"/>
        </w:rPr>
        <w:t xml:space="preserve">Zitiervorschlag: § 8 GStVO-ArbG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https://recht.nulegal.eu/gesetze/GStVO-ArbG/8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