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Beamten des gehobenen Dienstes sind als Urkundsbeamten der Geschäftsstelle folgende Aufgaben vorbehalten:</w:t>
      </w:r>
    </w:p>
    <w:p>
      <w:r>
        <w:t xml:space="preserve">1. die Festsetzung und Anweisung der aus der Staatskasse zu gewährenden Vergütung des beigeordneten Rechtsanwalts,</w:t>
      </w:r>
    </w:p>
    <w:p>
      <w:r>
        <w:t xml:space="preserve">2. die Prüfung der Gesuche nach der Rechtshilfeordnung für Zivilsachen.</w:t>
      </w:r>
    </w:p>
    <w:p>
      <w:r>
        <w:rPr>
          <w:color w:val="555555"/>
          <w:sz w:val="17"/>
        </w:rPr>
        <w:t xml:space="preserve">Zitiervorschlag: § 6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