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GStVO-ArbG (Bayern)</w:t>
      </w:r>
    </w:p>
    <w:p>
      <w:r>
        <w:rPr>
          <w:color w:val="555555"/>
          <w:sz w:val="18"/>
        </w:rPr>
        <w:t xml:space="preserve">Verordnung über die Geschäftsstellen der Gerichte für Arbeitssachen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Aufgaben des Urkundsbeamten der Geschäftsstelle sowie die übrigen Aufgaben der Geschäftsstelle, die nicht durch Gesetz den Rechtspflegern übertragen sind, obliegen den Beamten des gehobenen und mittleren Dienstes.</w:t>
      </w:r>
    </w:p>
    <w:p>
      <w:r>
        <w:t xml:space="preserve">(2) Soweit nicht nach dieser Verordnung oder auf Grund anderer Rechts- und Verwaltungsvorschriften Geschäfte den Beamten des gehobenen Dienstes vorbehalten sind, werden sie von den Beamten des mittleren Dienstes wahrgenommen.</w:t>
      </w:r>
    </w:p>
    <w:p>
      <w:r>
        <w:rPr>
          <w:color w:val="555555"/>
          <w:sz w:val="17"/>
        </w:rPr>
        <w:t xml:space="preserve">Zitiervorschlag: § 5 GStVO-ArbG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https://recht.nulegal.eu/gesetze/GStVO-ArbG/5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