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Geschäftsstelle kann in Kammergeschäftsstellen gegliedert werden.</w:t>
      </w:r>
    </w:p>
    <w:p>
      <w:r>
        <w:t xml:space="preserve">(2) Die Kammergeschäftsstellen können in Gruppen zusammengefaßt werden. Diese unterstehen jeweils der Fachaufsicht eines Beamten des gehobenen Dienstes als Gruppenleiter, der vom Gerichtsvorstand mit Zustimmung des Präsidenten des Landesarbeitsgerichts bestellt wird.</w:t>
      </w:r>
    </w:p>
    <w:p>
      <w:r>
        <w:t xml:space="preserve">(3) § 3 Satz 3 gilt für den Gruppenleiter entsprechend.</w:t>
      </w:r>
    </w:p>
    <w:p>
      <w:r>
        <w:rPr>
          <w:color w:val="555555"/>
          <w:sz w:val="17"/>
        </w:rPr>
        <w:t xml:space="preserve">Zitiervorschlag: § 4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