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GStVO-ArbG (Bayern)</w:t>
      </w:r>
    </w:p>
    <w:p>
      <w:r>
        <w:rPr>
          <w:color w:val="555555"/>
          <w:sz w:val="18"/>
        </w:rPr>
        <w:t xml:space="preserve">Verordnung über die Geschäftsstellen der Gerichte für Arbeitssachen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Geschäftsstelle wird mit Beamten des gehobenen und des mittleren Dienstes sowie mit Angestellten besetzt.</w:t>
      </w:r>
    </w:p>
    <w:p>
      <w:r>
        <w:t xml:space="preserve">(2) Der Geschäftsstelle werden auch die Beamten auf Widerruf im Vorbereitungsdienst und die Dienstanfänger im Rahmen der Ausbildung für ihre Laufbahn zugewiesen.</w:t>
      </w:r>
    </w:p>
    <w:p>
      <w:r>
        <w:rPr>
          <w:color w:val="555555"/>
          <w:sz w:val="17"/>
        </w:rPr>
        <w:t xml:space="preserve">Zitiervorschlag: § 2 GStVO-ArbG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https://recht.nulegal.eu/gesetze/GStVO-ArbG/2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