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GStVO-ArbG (Bayern)</w:t>
      </w:r>
    </w:p>
    <w:p>
      <w:r>
        <w:rPr>
          <w:color w:val="555555"/>
          <w:sz w:val="18"/>
        </w:rPr>
        <w:t xml:space="preserve">Verordnung über die Geschäftsstellen der Gerichte für Arbeitssachen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 Verordnung tritt am 1. Januar 1983 in Kraft.</w:t>
      </w:r>
    </w:p>
    <w:p>
      <w:r>
        <w:t xml:space="preserve">(2) (gegenstandslos)</w:t>
      </w:r>
    </w:p>
    <w:p>
      <w:r>
        <w:t xml:space="preserve">[Amtl. Anm.:] Betrifft die ursprüngliche Fassung vom 14. Dezember 1982 (GVBl. S. 1124)</w:t>
      </w:r>
    </w:p>
    <w:p>
      <w:r>
        <w:rPr>
          <w:color w:val="555555"/>
          <w:sz w:val="17"/>
        </w:rPr>
        <w:t xml:space="preserve">Zitiervorschlag: § 11 GStVO-ArbG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https://recht.nulegal.eu/gesetze/GStVO-ArbG/11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