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jedem Gericht für Arbeitssachen besteht eine Geschäftsstelle, die mit der erforderlichen Zahl von Urkundsbeamten besetzt wird.</w:t>
      </w:r>
    </w:p>
    <w:p>
      <w:r>
        <w:t xml:space="preserve">(2) Die Geschäftsstelle hat die ihr durch Rechts- und Verwaltungsvorschriften übertragenen Geschäfte zu besorgen.</w:t>
      </w:r>
    </w:p>
    <w:p>
      <w:r>
        <w:rPr>
          <w:color w:val="555555"/>
          <w:sz w:val="17"/>
        </w:rPr>
        <w:t xml:space="preserve">Zitiervorschlag: § 1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