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GSS (Nordrhein-Westfalen) — Geltungsbereich</w:t>
      </w:r>
    </w:p>
    <w:p>
      <w:r>
        <w:rPr>
          <w:color w:val="555555"/>
          <w:sz w:val="18"/>
        </w:rPr>
        <w:t xml:space="preserve">Gewinnspielsatzung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Satzung gilt für Rundfunk im Sinne des IV. Abschnitts des Medienstaatsvertrags und für Telemedien privater Anbieter im Sinne des § 74 MStV, auch soweit es sich um journalistisch-redaktionelle Angebote handelt.</w:t>
      </w:r>
    </w:p>
    <w:p>
      <w:r>
        <w:t xml:space="preserve">(2) Die Regelungen des Staatsvertrages über den Schutz der Menschenwürde und den Jugendschutz in Rundfunk und Telemedien, des Glücksspielstaatsvertrages, des Gesetzes gegen den unlauteren Wettbewerb sowie telekommunikationsrechtliche Regelungen bleiben unberührt.</w:t>
      </w:r>
    </w:p>
    <w:p>
      <w:r>
        <w:rPr>
          <w:color w:val="555555"/>
          <w:sz w:val="17"/>
        </w:rPr>
        <w:t xml:space="preserve">Zitiervorschlag: § 1 GSS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https://recht.nulegal.eu/gesetze/GSS/1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