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15 GSO (Bayern) — (zu § 61 Abs. 2 und 3 sowie § 64 Abs. 2) Übersicht über die im Zeugnis der allgemeinen Hochschulreife für andere Bewerberinnen und Bewerber für Schülerinnen und Schüler staatlich genehmigter Ersatzschulen erreichbare Höchstzahl von Punkten, wenn von der Ersetzungsmöglichkeit nach § 64 Abs. 2 Gebrauch gemacht wird</w:t>
      </w:r>
    </w:p>
    <w:p>
      <w:r>
        <w:rPr>
          <w:color w:val="555555"/>
          <w:sz w:val="18"/>
        </w:rPr>
        <w:t xml:space="preserve">Gymnasialschulordnung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13/II</w:t>
      </w:r>
    </w:p>
    <w:p>
      <w:r>
        <w:t xml:space="preserve">Faktor</w:t>
      </w:r>
    </w:p>
    <w:p>
      <w:r>
        <w:t xml:space="preserve">Prüfung</w:t>
      </w:r>
    </w:p>
    <w:p>
      <w:r>
        <w:t xml:space="preserve">Faktor</w:t>
      </w:r>
    </w:p>
    <w:p>
      <w:r>
        <w:t xml:space="preserve">Gesamtqualifikation</w:t>
      </w:r>
    </w:p>
    <w:p>
      <w:r>
        <w:t xml:space="preserve">1.</w:t>
      </w:r>
    </w:p>
    <w:p>
      <w:r>
        <w:t xml:space="preserve">schriftliches Fach</w:t>
      </w:r>
    </w:p>
    <w:p>
      <w:r>
        <w:t xml:space="preserve">(Mathematik; eA)</w:t>
      </w:r>
    </w:p>
    <w:p>
      <w:r>
        <w:t xml:space="preserve">–</w:t>
      </w:r>
    </w:p>
    <w:p>
      <w:r>
        <w:t xml:space="preserve">11</w:t>
      </w:r>
    </w:p>
    <w:p>
      <w:r>
        <w:t xml:space="preserve">165</w:t>
      </w:r>
    </w:p>
    <w:p>
      <w:r>
        <w:t xml:space="preserve">2.</w:t>
      </w:r>
    </w:p>
    <w:p>
      <w:r>
        <w:t xml:space="preserve">schriftliches Fach</w:t>
      </w:r>
    </w:p>
    <w:p>
      <w:r>
        <w:t xml:space="preserve">(eA)</w:t>
      </w:r>
    </w:p>
    <w:p>
      <w:r>
        <w:t xml:space="preserve">–</w:t>
      </w:r>
    </w:p>
    <w:p>
      <w:r>
        <w:t xml:space="preserve">11</w:t>
      </w:r>
    </w:p>
    <w:p>
      <w:r>
        <w:t xml:space="preserve">165</w:t>
      </w:r>
    </w:p>
    <w:p>
      <w:r>
        <w:t xml:space="preserve">3.</w:t>
      </w:r>
    </w:p>
    <w:p>
      <w:r>
        <w:t xml:space="preserve">schriftliches Fach</w:t>
      </w:r>
    </w:p>
    <w:p>
      <w:r>
        <w:t xml:space="preserve">(eA oder gA)</w:t>
      </w:r>
    </w:p>
    <w:p>
      <w:r>
        <w:t xml:space="preserve">–</w:t>
      </w:r>
    </w:p>
    <w:p>
      <w:r>
        <w:t xml:space="preserve">11</w:t>
      </w:r>
    </w:p>
    <w:p>
      <w:r>
        <w:t xml:space="preserve">165</w:t>
      </w:r>
    </w:p>
    <w:p>
      <w:r>
        <w:t xml:space="preserve">4.</w:t>
      </w:r>
    </w:p>
    <w:p>
      <w:r>
        <w:t xml:space="preserve">schriftliches Fach</w:t>
      </w:r>
    </w:p>
    <w:p>
      <w:r>
        <w:t xml:space="preserve">(gA)</w:t>
      </w:r>
    </w:p>
    <w:p>
      <w:r>
        <w:t xml:space="preserve">–</w:t>
      </w:r>
    </w:p>
    <w:p>
      <w:r>
        <w:t xml:space="preserve">11</w:t>
      </w:r>
    </w:p>
    <w:p>
      <w:r>
        <w:t xml:space="preserve">165</w:t>
      </w:r>
    </w:p>
    <w:p>
      <w:r>
        <w:t xml:space="preserve">5.</w:t>
      </w:r>
    </w:p>
    <w:p>
      <w:r>
        <w:t xml:space="preserve">mündliches Fach</w:t>
      </w:r>
    </w:p>
    <w:p>
      <w:r>
        <w:t xml:space="preserve">(eA oder gA)</w:t>
      </w:r>
    </w:p>
    <w:p>
      <w:r>
        <w:t xml:space="preserve">–</w:t>
      </w:r>
    </w:p>
    <w:p>
      <w:r>
        <w:t xml:space="preserve">4</w:t>
      </w:r>
    </w:p>
    <w:p>
      <w:r>
        <w:t xml:space="preserve">60</w:t>
      </w:r>
    </w:p>
    <w:p>
      <w:r>
        <w:t xml:space="preserve">6.</w:t>
      </w:r>
    </w:p>
    <w:p>
      <w:r>
        <w:t xml:space="preserve">mündliches Fach</w:t>
      </w:r>
    </w:p>
    <w:p>
      <w:r>
        <w:t xml:space="preserve">(gA)</w:t>
      </w:r>
    </w:p>
    <w:p>
      <w:r>
        <w:t xml:space="preserve">–</w:t>
      </w:r>
    </w:p>
    <w:p>
      <w:r>
        <w:t xml:space="preserve">4</w:t>
      </w:r>
    </w:p>
    <w:p>
      <w:r>
        <w:t xml:space="preserve">60</w:t>
      </w:r>
    </w:p>
    <w:p>
      <w:r>
        <w:t xml:space="preserve">7.</w:t>
      </w:r>
    </w:p>
    <w:p>
      <w:r>
        <w:t xml:space="preserve">weiteres Fach</w:t>
      </w:r>
    </w:p>
    <w:p>
      <w:r>
        <w:t xml:space="preserve">(gA)</w:t>
      </w:r>
    </w:p>
    <w:p>
      <w:r>
        <w:t xml:space="preserve">4</w:t>
      </w:r>
    </w:p>
    <w:p>
      <w:r>
        <w:t xml:space="preserve">–</w:t>
      </w:r>
    </w:p>
    <w:p>
      <w:r>
        <w:t xml:space="preserve">60</w:t>
      </w:r>
    </w:p>
    <w:p>
      <w:r>
        <w:t xml:space="preserve">8.</w:t>
      </w:r>
    </w:p>
    <w:p>
      <w:r>
        <w:t xml:space="preserve">weiteres Fach</w:t>
      </w:r>
    </w:p>
    <w:p>
      <w:r>
        <w:t xml:space="preserve">(gA)</w:t>
      </w:r>
    </w:p>
    <w:p>
      <w:r>
        <w:t xml:space="preserve">4</w:t>
      </w:r>
    </w:p>
    <w:p>
      <w:r>
        <w:t xml:space="preserve">–</w:t>
      </w:r>
    </w:p>
    <w:p>
      <w:r>
        <w:t xml:space="preserve">60</w:t>
      </w:r>
    </w:p>
    <w:p>
      <w:r>
        <w:t xml:space="preserve">Insgesamt</w:t>
      </w:r>
    </w:p>
    <w:p>
      <w:r>
        <w:t xml:space="preserve">8</w:t>
      </w:r>
    </w:p>
    <w:p>
      <w:r>
        <w:t xml:space="preserve">52</w:t>
      </w:r>
    </w:p>
    <w:p>
      <w:r>
        <w:t xml:space="preserve">900</w:t>
      </w:r>
    </w:p>
    <w:p>
      <w:r>
        <w:t xml:space="preserve">[Amtl. Anm.:] Erhöhtes Anforderungsniveau.</w:t>
      </w:r>
    </w:p>
    <w:p>
      <w:r>
        <w:t xml:space="preserve">[Amtl. Anm.:] Grundlegendes Anforderungsniveau.</w:t>
      </w:r>
    </w:p>
    <w:p>
      <w:r>
        <w:rPr>
          <w:color w:val="555555"/>
          <w:sz w:val="17"/>
        </w:rPr>
        <w:t xml:space="preserve">Zitiervorschlag: Anlage 15 GSO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https://recht.nulegal.eu/gesetze/GSO/anlage-15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