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GSO (Bayern) — Verbot des Wiederholens</w:t>
      </w:r>
    </w:p>
    <w:p>
      <w:r>
        <w:rPr>
          <w:color w:val="555555"/>
          <w:sz w:val="18"/>
        </w:rPr>
        <w:t xml:space="preserve">Gymnasialschulordnung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Ist das Wiederholen einer Jahrgangsstufe nach Art. 53 Abs. 3 BayEUG oder wegen Überschreitens der Höchstausbildungsdauer (Art. 55 Abs. 1 Nr. 6 BayEUG, § 14) nicht zulässig, so wird dies im Jahreszeugnis eigens vermerkt.</w:t>
      </w:r>
    </w:p>
    <w:p>
      <w:r>
        <w:t xml:space="preserve">(2) Über eine Befreiung von den Folgen des Art. 53 Abs. 3 BayEUG entscheidet die Lehrerkonferenz von Amts wegen.</w:t>
      </w:r>
    </w:p>
    <w:p>
      <w:r>
        <w:rPr>
          <w:color w:val="555555"/>
          <w:sz w:val="17"/>
        </w:rPr>
        <w:t xml:space="preserve">Zitiervorschlag: § 38 GSO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https://recht.nulegal.eu/gesetze/GSO/38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