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GSO (Bayern) — Notenausgleich</w:t>
      </w:r>
    </w:p>
    <w:p>
      <w:r>
        <w:rPr>
          <w:color w:val="555555"/>
          <w:sz w:val="18"/>
        </w:rPr>
        <w:t xml:space="preserve">Gymnasialschulordnung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Schülerinnen und Schülern der Jahrgangsstufen 10 und 11, die nach § 30 Abs. 1 Satz 2 vom Vorrücken ausgeschlossen sind, kann unter folgenden Voraussetzungen Notenausgleich gewährt werden:</w:t>
      </w:r>
    </w:p>
    <w:p>
      <w:r>
        <w:t xml:space="preserve">1. Sie weisen nicht in einem weiteren Vorrückungsfach Note 5 oder 6 auf,</w:t>
      </w:r>
    </w:p>
    <w:p>
      <w:r>
        <w:t xml:space="preserve">2. sie haben Note 1 in einem oder Note 2 in zwei Vorrückungsfächern, wobei Kernfächer nur durch Kernfächer ausgeglichen werden können, oder haben in mindestens drei Kernfächern keine schlechtere Note als 3,</w:t>
      </w:r>
    </w:p>
    <w:p>
      <w:r>
        <w:t xml:space="preserve">3. sie durften in die nichtbestandene Jahrgangsstufe nicht nur auf Grund eines Notenausgleichs vorrücken und</w:t>
      </w:r>
    </w:p>
    <w:p>
      <w:r>
        <w:t xml:space="preserve">4. in der Jahrgangsstufe 10 kann erwartet werden, dass das Ziel der Jahrgangsstufe 11 erreicht und in der Jahrgangsstufe 11 kann erwartet werden, dass das Ziel des Gymnasiums erreicht wird.</w:t>
      </w:r>
    </w:p>
    <w:p>
      <w:r>
        <w:t xml:space="preserve">§ 31 Abs. 1 Satz 3 gilt entsprechend. Wird einer Schülerin oder einem Schüler Notenausgleich gewährt, so wird in das Jahreszeugnis eine entsprechende Bemerkung aufgenommen.</w:t>
      </w:r>
    </w:p>
    <w:p>
      <w:r>
        <w:rPr>
          <w:color w:val="555555"/>
          <w:sz w:val="17"/>
        </w:rPr>
        <w:t xml:space="preserve">Zitiervorschlag: § 32 GSO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https://recht.nulegal.eu/gesetze/GSO/32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