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GSO (Bayern) — Gliederung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Gymnasium gliedert sich in die Unterstufe mit den Jahrgangsstufen 5 bis 7, die Mittelstufe mit den Jahrgangsstufen 8 bis 10 und die Oberstufe. Die Einführungsphase der Oberstufe ist die Jahrgangsstufe 11 oder die Einführungsklasse nach § 7 Abs. 2. Die Qualifikationsphase der Oberstufe umfasst die Jahrgangsstufen 12 und 13.</w:t>
      </w:r>
    </w:p>
    <w:p>
      <w:r>
        <w:t xml:space="preserve">(2) Am Abendgymnasium und am Kolleg ist die Jahrgangsstufe I die Einführungsphase; die Jahrgangsstufen II und III bilden die Qualifikationsphase. Am Abendgymnasium wird ein einjähriger Vorkurs eingerichtet; am Kolleg kann ein einjähriger Vorkurs eingerichtet werden, der in zwei halbjährige Kurse geteilt werden kann. Die Bestimmungen für die Jahrgangsstufen 11 bis 13 des Gymnasiums gelten auch für die Jahrgangsstufen I bis III des Abendgymnasiums bzw. Kollegs, soweit nichts Abweichendes geregelt ist.</w:t>
      </w:r>
    </w:p>
    <w:p>
      <w:r>
        <w:rPr>
          <w:color w:val="555555"/>
          <w:sz w:val="17"/>
        </w:rPr>
        <w:t xml:space="preserve">Zitiervorschlag: § 12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