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GSGV 9 — Marktüberwachung</w:t>
      </w:r>
    </w:p>
    <w:p>
      <w:r>
        <w:rPr>
          <w:color w:val="555555"/>
          <w:sz w:val="18"/>
        </w:rPr>
        <w:t xml:space="preserve">Maschinenverordnung</w:t>
      </w:r>
    </w:p>
    <w:p>
      <w:r>
        <w:rPr>
          <w:color w:val="555555"/>
          <w:sz w:val="18"/>
        </w:rPr>
        <w:t xml:space="preserve">Stand: 30.05.2026 (konsolidierte Textfassung, kein amtliches Inkrafttretensdatum)</w:t>
      </w:r>
    </w:p>
    <w:p>
      <w:r>
        <w:t xml:space="preserve">(1) Die Marktüberwachungsbehörden treffen alle erforderlichen Maßnahmen, um sicherzustellen, dass Maschinen nur auf dem Markt bereitgestellt oder in Betrieb genommen werden, wenn sie den für sie geltenden Bestimmungen dieser Verordnung entsprechen und wenn sie bei ordnungsgemäßer Installation und Wartung und bei bestimmungsgemäßer Verwendung oder vorhersehbarer Fehlanwendung die Sicherheit und die Gesundheit von Personen und die Sicherheit von Haustieren und Gütern und, soweit anwendbar, die Umwelt nicht gefährden. Bei einer Maschine, die mit der CE-Kennzeichnung nach § 5 dieser Verordnung versehen ist und der die EG-Konformitätserklärung mit den in Anhang II Teil 1 Abschnitt A der Richtlinie 2006/42/EG in der Fassung vom 9. Oktober 2024 aufgeführten Angaben beigefügt ist, gehen die Marktüberwachungsbehörden davon aus, dass sie den Bestimmungen dieser Verordnung entspricht.</w:t>
      </w:r>
    </w:p>
    <w:p>
      <w:r>
        <w:t xml:space="preserve">(2) Die Marktüberwachungsbehörden treffen alle erforderlichen Maßnahmen, um sicherzustellen, dass unvollständige Maschinen nur auf dem Markt bereitgestellt werden, wenn sie den Bestimmungen dieser Verordnung entsprechen.</w:t>
      </w:r>
    </w:p>
    <w:p>
      <w:r>
        <w:t xml:space="preserve">(3) Bei der Marktüberwachung der in Anhang I Abschnitt 2.4 der Richtlinie 2006/42/EG in der Fassung vom 9. Oktober 2024 genannten Maschinen zur Ausbringung von Pestiziden wirken das Julius Kühn-Institut, Bundesforschungsinstitut für Kulturpflanzen, und die für die Durchführung des Pflanzenschutzrechts zuständigen Behörden der Länder mit.</w:t>
      </w:r>
    </w:p>
    <w:p>
      <w:r>
        <w:rPr>
          <w:color w:val="555555"/>
          <w:sz w:val="17"/>
        </w:rPr>
        <w:t xml:space="preserve">Zitiervorschlag: § 7 GSGV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