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6d GSGV 9 — Konformitätsvermutung auf der Grundlage von Normen oder gemeinsamen Spezifikationen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Bei einer Maschine, die den in einem Durchführungsrechtsakt nach Artikel 21e Absatz 1 der Richtlinie 2006/42/EG in der Fassung vom 9. Oktober 2024 genannten Normen oder gemeinsamen Spezifikationen oder Teilen davon entspricht, wird vermutet, dass sie die grundlegenden Sicherheits- und Gesundheitsschutzanforderungen erfüllt, soweit sie von den betreffenden Normen oder gemeinsamen Spezifikationen oder Teilen davon abgedeckt ist.</w:t>
      </w:r>
    </w:p>
    <w:p>
      <w:r>
        <w:t xml:space="preserve">(2) Ab dem Tag, der auf das Auslaufen oder die Deaktivierung des Notfallmodus für den Binnenmarkt folgt, können sich Hersteller nicht mehr auf die Konformitätsvermutung nach Absatz 1 berufen.</w:t>
      </w:r>
    </w:p>
    <w:p>
      <w:r>
        <w:t xml:space="preserve">(3) Eine in den Verkehr gebrachte oder in Betrieb genommene Maschine, die mit den in Absatz 1 genannten Normen oder gemeinsamen Spezifikationen übereinstimmt, gilt auch nach dem Außerkrafttreten eines Durchführungsrechtsakts nach Absatz 1 oder nach dem Auslaufen oder der Deaktivierung des Notfallmodus für den Binnenmarkt als konform mit den grundlegenden Sicherheits- und Gesundheitsschutzanforderungen, sofern kein hinreichender Grund zu der Annahme besteht, dass sie ein Risiko für die Gesundheit oder Sicherheit von Menschen darstellt.</w:t>
      </w:r>
    </w:p>
    <w:p>
      <w:r>
        <w:rPr>
          <w:color w:val="555555"/>
          <w:sz w:val="17"/>
        </w:rPr>
        <w:t xml:space="preserve">Zitiervorschlag: § 6d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https://recht.nulegal.eu/gesetze/GSGV%209/6d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