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GSGV 9 — Voraussetzungen für die Bereitstellung von unvollständigen Maschinen auf dem Markt</w:t>
      </w:r>
    </w:p>
    <w:p>
      <w:r>
        <w:rPr>
          <w:color w:val="555555"/>
          <w:sz w:val="18"/>
        </w:rPr>
        <w:t xml:space="preserve">Maschinenverordnung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Der Hersteller oder sein Bevollmächtigter stellt vor dem Inverkehrbringen einer unvollständigen Maschine sicher, dass</w:t>
      </w:r>
    </w:p>
    <w:p>
      <w:pPr>
        <w:ind w:left="420"/>
      </w:pPr>
      <w:r>
        <w:t xml:space="preserve">1. die speziellen technischen Unterlagen gemäß Anhang VII Teil B der Richtlinie 2006/42/EG in der Fassung vom 9. Oktober 2024 erstellt werden,</w:t>
      </w:r>
    </w:p>
    <w:p>
      <w:pPr>
        <w:ind w:left="420"/>
      </w:pPr>
      <w:r>
        <w:t xml:space="preserve">2. die Montageanleitung gemäß Anhang VI der Richtlinie 2006/42/EG in der Fassung vom 9. Oktober 2024 erstellt wird und</w:t>
      </w:r>
    </w:p>
    <w:p>
      <w:pPr>
        <w:ind w:left="420"/>
      </w:pPr>
      <w:r>
        <w:t xml:space="preserve">3. eine Einbauerklärung gemäß Anhang II Teil 1 Abschnitt B der Richtlinie 2006/42/EG in der Fassung vom 9. Oktober 2024 ausgestellt wurde.</w:t>
      </w:r>
    </w:p>
    <w:p>
      <w:r>
        <w:t xml:space="preserve">(2) Die Montageanleitung und die Einbauerklärung sind der unvollständigen Maschine beizufügen und werden anschließend Teil der technischen Unterlagen der vollständigen Maschine.</w:t>
      </w:r>
    </w:p>
    <w:p>
      <w:r>
        <w:t xml:space="preserve">(3) Das Anbringen der CE-Kennzeichnung auf unvollständige Maschinen ist nicht zulässig.</w:t>
      </w:r>
    </w:p>
    <w:p>
      <w:r>
        <w:rPr>
          <w:color w:val="555555"/>
          <w:sz w:val="17"/>
        </w:rPr>
        <w:t xml:space="preserve">Zitiervorschlag: § 6 GSGV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https://recht.nulegal.eu/gesetze/GSGV%209/6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