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GSGV 9 — Konformitätsbewertungsverfahren für Maschinen</w:t>
      </w:r>
    </w:p>
    <w:p>
      <w:r>
        <w:rPr>
          <w:color w:val="555555"/>
          <w:sz w:val="18"/>
        </w:rPr>
        <w:t xml:space="preserve">Maschinenverordnung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(1) Der Hersteller oder sein Bevollmächtigter führt eines der in den Absätzen 2, 3 und 4 beschriebenen Konformitätsbewertungsverfahren durch, um nachzuweisen, dass die Maschine mit den Bestimmungen dieser Verordnung übereinstimmt.</w:t>
      </w:r>
    </w:p>
    <w:p>
      <w:r>
        <w:t xml:space="preserve">(2) Ist die Maschine nicht in Anhang IV der Richtlinie 2006/42/EG in der Fassung vom 9. Oktober 2024 aufgeführt, so führt der Hersteller oder sein Bevollmächtigter das in Anhang VIII der Richtlinie 2006/42/EG in der Fassung vom 9. Oktober 2024 vorgesehene Verfahren der Konformitätsbewertung mit interner Fertigungskontrolle bei der Herstellung von Maschinen durch.</w:t>
      </w:r>
    </w:p>
    <w:p>
      <w:r>
        <w:t xml:space="preserve">(3) Ist die Maschine in Anhang IV der Richtlinie 2006/42/EG in der Fassung vom 9. Oktober 2024 aufgeführt und nach den in § 3 Abs. 5 genannten harmonisierten Normen hergestellt und berücksichtigen diese Normen alle relevanten grundlegenden Sicherheits- und Gesundheitsschutzanforderungen, so führt der Hersteller oder sein Bevollmächtigter eines der folgenden Verfahren durch:</w:t>
      </w:r>
    </w:p>
    <w:p>
      <w:pPr>
        <w:ind w:left="420"/>
      </w:pPr>
      <w:r>
        <w:t xml:space="preserve">1. das in Anhang VIII der Richtlinie 2006/42/EG in der Fassung vom 9. Oktober 2024 vorgesehene Verfahren der Konformitätsbewertung mit interner Fertigungskontrolle bei der Herstellung von Maschinen oder</w:t>
      </w:r>
    </w:p>
    <w:p>
      <w:pPr>
        <w:ind w:left="420"/>
      </w:pPr>
      <w:r>
        <w:t xml:space="preserve">2. das in Anhang IX der Richtlinie 2006/42/EG in der Fassung vom 9. Oktober 2024 beschriebene EG-Baumusterprüfverfahren sowie die in Anhang VIII Nr. 3 der Richtlinie 2006/42/EG in der Fassung vom 9. Oktober 2024 beschriebene interne Fertigungskontrolle bei der Herstellung von Maschinen oder</w:t>
      </w:r>
    </w:p>
    <w:p>
      <w:pPr>
        <w:ind w:left="420"/>
      </w:pPr>
      <w:r>
        <w:t xml:space="preserve">3. das in Anhang X der Richtlinie 2006/42/EG in der Fassung vom 9. Oktober 2024 beschriebene Verfahren der umfassenden Qualitätssicherung.</w:t>
      </w:r>
    </w:p>
    <w:p>
      <w:r>
        <w:t xml:space="preserve">(4) Ist die Maschine in Anhang IV der Richtlinie 2006/42/EG in der Fassung vom 9. Oktober 2024 aufgeführt und wurden die in § 3 Abs. 5 genannten harmonisierten Normen bei der Herstellung der Maschine nicht oder nur teilweise berücksichtigt oder berücksichtigen diese Normen nicht alle relevanten grundlegenden Sicherheits- und Gesundheitsschutzanforderungen oder gibt es für die betreffende Maschine keine harmonisierten Normen, so führt der Hersteller oder sein Bevollmächtigter eines der folgenden Verfahren durch:</w:t>
      </w:r>
    </w:p>
    <w:p>
      <w:pPr>
        <w:ind w:left="420"/>
      </w:pPr>
      <w:r>
        <w:t xml:space="preserve">1. das in Anhang IX der Richtlinie 2006/42/EG in der Fassung vom 9. Oktober 2024 beschriebene EG-Baumusterprüfverfahren sowie die in Anhang VIII Nr. 3 der Richtlinie 2006/42/EG in der Fassung vom 9. Oktober 2024 beschriebene interne Fertigungskontrolle bei der Herstellung von Maschinen oder</w:t>
      </w:r>
    </w:p>
    <w:p>
      <w:pPr>
        <w:ind w:left="420"/>
      </w:pPr>
      <w:r>
        <w:t xml:space="preserve">2. das in Anhang X der Richtlinie 2006/42/EG in der Fassung vom 9. Oktober 2024 beschriebene Verfahren der umfassenden Qualitätssicherung.</w:t>
      </w:r>
    </w:p>
    <w:p>
      <w:r>
        <w:rPr>
          <w:color w:val="555555"/>
          <w:sz w:val="17"/>
        </w:rPr>
        <w:t xml:space="preserve">Zitiervorschlag: § 4 GSGV 9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https://recht.nulegal.eu/gesetze/GSGV%209/4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