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GSGV 9 — Begriffsbestimmungen</w:t>
      </w:r>
    </w:p>
    <w:p>
      <w:r>
        <w:rPr>
          <w:color w:val="555555"/>
          <w:sz w:val="18"/>
        </w:rPr>
        <w:t xml:space="preserve">Maschinenverordnung</w:t>
      </w:r>
    </w:p>
    <w:p>
      <w:r>
        <w:rPr>
          <w:color w:val="555555"/>
          <w:sz w:val="18"/>
        </w:rPr>
        <w:t xml:space="preserve">Stand: 30.05.2026 (konsolidierte Textfassung, kein amtliches Inkrafttretensdatum)</w:t>
      </w:r>
    </w:p>
    <w:p>
      <w:pPr>
        <w:ind w:left="420"/>
      </w:pPr>
      <w:r>
        <w:t xml:space="preserve">1. Maschinen im Sinne der Verordnung sind die in § 1 Abs. 1 Nr. 1 bis 6 aufgelisteten Produkte.</w:t>
      </w:r>
    </w:p>
    <w:p>
      <w:pPr>
        <w:ind w:left="420"/>
      </w:pPr>
      <w:r>
        <w:t xml:space="preserve">2. Eine Maschine im Sinne des § 1 Abs. 1 Nr. 1 ist auch:</w:t>
      </w:r>
    </w:p>
    <w:p>
      <w:pPr>
        <w:ind w:left="780"/>
      </w:pPr>
      <w:r>
        <w:t xml:space="preserve">a) eine mit einem anderen Antriebssystem als der unmittelbar eingesetzten menschlichen oder tierischen Kraft ausgestattete oder dafür vorgesehene Gesamtheit miteinander verbundener Teile oder Vorrichtungen, von denen mindestens eines beziehungsweise eine beweglich ist und die für eine bestimmte Anwendung zusammengefügt sind,</w:t>
      </w:r>
    </w:p>
    <w:p>
      <w:pPr>
        <w:ind w:left="780"/>
      </w:pPr>
      <w:r>
        <w:t xml:space="preserve">b) eine Gesamtheit im Sinne des Buchstaben a, der lediglich die Teile fehlen, die sie mit ihrem Einsatzort oder mit ihren Energie- und Antriebsquellen verbinden,</w:t>
      </w:r>
    </w:p>
    <w:p>
      <w:pPr>
        <w:ind w:left="780"/>
      </w:pPr>
      <w:r>
        <w:t xml:space="preserve">c) eine einbaufertige Gesamtheit im Sinne der Buchstaben a und b, die erst nach Anbringung auf einem Beförderungsmittel oder Installation in einem Gebäude oder Bauwerk funktionsfähig ist,</w:t>
      </w:r>
    </w:p>
    <w:p>
      <w:pPr>
        <w:ind w:left="780"/>
      </w:pPr>
      <w:r>
        <w:t xml:space="preserve">d) eine Gesamtheit von Maschinen im Sinne der Buchstaben a bis c oder von unvollständigen Maschinen nach Nummer 8, die, damit sie zusammenwirken, so angeordnet sind und betätigt werden, dass sie als Gesamtheit von Maschinen funktionieren,</w:t>
      </w:r>
    </w:p>
    <w:p>
      <w:pPr>
        <w:ind w:left="780"/>
      </w:pPr>
      <w:r>
        <w:t xml:space="preserve">e) eine Gesamtheit miteinander verbundener Teile oder Vorrichtungen, von denen mindestens eines beziehungsweise eine beweglich ist und die für Hebevorgänge zusammengefügt sind und deren einzige Antriebsquelle die unmittelbar eingesetzte menschliche Kraft ist.</w:t>
      </w:r>
    </w:p>
    <w:p>
      <w:pPr>
        <w:ind w:left="420"/>
      </w:pPr>
      <w:r>
        <w:t xml:space="preserve">3. Eine auswechselbare Ausrüstung ist eine Vorrichtung, die der Bediener einer Maschine oder Zugmaschine nach deren Inbetriebnahme selbst an ihr anbringt, um ihre Funktion zu ändern oder zu erweitern, sofern diese Ausrüstung kein Werkzeug ist.</w:t>
      </w:r>
    </w:p>
    <w:p>
      <w:pPr>
        <w:ind w:left="420"/>
      </w:pPr>
      <w:r>
        <w:t xml:space="preserve">4. Ein Sicherheitsbauteil ist ein Bauteil,</w:t>
      </w:r>
    </w:p>
    <w:p>
      <w:pPr>
        <w:ind w:left="780"/>
      </w:pPr>
      <w:r>
        <w:t xml:space="preserve">a) das zur Gewährleistung einer Sicherheitsfunktion dient,</w:t>
      </w:r>
    </w:p>
    <w:p>
      <w:pPr>
        <w:ind w:left="780"/>
      </w:pPr>
      <w:r>
        <w:t xml:space="preserve">b) das gesondert auf dem Markt bereitgestellt wird,</w:t>
      </w:r>
    </w:p>
    <w:p>
      <w:pPr>
        <w:ind w:left="780"/>
      </w:pPr>
      <w:r>
        <w:t xml:space="preserve">c) dessen Ausfall oder Fehlfunktion die Sicherheit von Personen gefährdet und</w:t>
      </w:r>
    </w:p>
    <w:p>
      <w:pPr>
        <w:ind w:left="780"/>
      </w:pPr>
      <w:r>
        <w:t xml:space="preserve">d) das für das Funktionieren der Maschine nicht erforderlich ist oder durch für das Funktionieren der Maschine übliche Bauteile ersetzt werden kann.</w:t>
      </w:r>
    </w:p>
    <w:p>
      <w:pPr>
        <w:ind w:left="420"/>
      </w:pPr>
      <w:r>
        <w:t xml:space="preserve">Eine nicht erschöpfende Liste von Sicherheitsbauteilen findet sich in Anhang V der Richtlinie 2006/42/EG in der Fassung vom 9. Oktober 2024.</w:t>
      </w:r>
    </w:p>
    <w:p>
      <w:pPr>
        <w:ind w:left="420"/>
      </w:pPr>
      <w:r>
        <w:t xml:space="preserve">5. Ein Lastaufnahmemittel ist ein nicht zum Hebezeug gehörendes Bauteil oder Ausrüstungsteil, das das Ergreifen der Last ermöglicht und das zwischen Maschine und Last oder an der Last selbst angebracht wird oder das dazu bestimmt ist, ein integraler Bestandteil der Last zu werden, und das gesondert auf dem Markt bereitgestellt wird; als Lastaufnahmemittel gelten auch Anschlagmittel und ihre Bestandteile.</w:t>
      </w:r>
    </w:p>
    <w:p>
      <w:pPr>
        <w:ind w:left="420"/>
      </w:pPr>
      <w:r>
        <w:t xml:space="preserve">6. Ketten, Seile und Gurte sind für Hebezwecke als Teil von Hebezeugen oder Lastaufnahmemitteln entwickelte und hergestellte Ketten, Seile und Gurte.</w:t>
      </w:r>
    </w:p>
    <w:p>
      <w:pPr>
        <w:ind w:left="420"/>
      </w:pPr>
      <w:r>
        <w:t xml:space="preserve">7. Eine abnehmbare Gelenkwelle ist ein abnehmbares Bauteil zur Kraftübertragung zwischen einer Antriebs- oder Zugmaschine und einer anderen Maschine, das die ersten Festlager beider Maschinen verbindet. Wird die Vorrichtung zusammen mit der Schutzeinrichtung auf dem Markt bereitgestellt, ist diese Kombination als ein einziges Produkt anzusehen.</w:t>
      </w:r>
    </w:p>
    <w:p>
      <w:pPr>
        <w:ind w:left="420"/>
      </w:pPr>
      <w:r>
        <w:t xml:space="preserve">8. Eine unvollständige Maschine ist eine Gesamtheit, die fast eine Maschine bildet, für sich genommen aber keine bestimmte Funktion erfüllen kann. Ein Antriebssystem stellt eine unvollständige Maschine dar. Eine unvollständige Maschine ist nur dazu bestimmt, in andere Maschinen oder unvollständige Maschinen oder Ausrüstungen eingebaut oder mit ihnen zusammengefügt zu werden, um zusammen mit ihnen eine Maschine im Sinne dieser Verordnung zu bilden.</w:t>
      </w:r>
    </w:p>
    <w:p>
      <w:pPr>
        <w:ind w:left="420"/>
      </w:pPr>
      <w:r>
        <w:t xml:space="preserve">9. Inbetriebnahme ist die erstmalige bestimmungsgemäße Verwendung einer von dieser Verordnung erfassten Maschine in der Europäischen Gemeinschaft.</w:t>
      </w:r>
    </w:p>
    <w:p>
      <w:pPr>
        <w:ind w:left="420"/>
      </w:pPr>
      <w:r>
        <w:t xml:space="preserve">10. Ein Hersteller ist jede natürliche oder juristische Person, die eine von dieser Verordnung erfasste Maschine oder eine unvollständige Maschine konstruiert oder baut und für die Übereinstimmung der Maschine oder unvollständigen Maschine mit dieser Verordnung im Hinblick auf ihr Inverkehrbringen unter ihrem eigenen Namen oder Warenzeichen oder für den Eigengebrauch verantwortlich ist. Wenn kein Hersteller im Sinne des Satzes 1 vorhanden ist, wird jede natürliche oder juristische Person, die eine von dieser Verordnung erfasste Maschine oder unvollständige Maschine in den Verkehr bringt oder in Betrieb nimmt, als Hersteller betrachtet.</w:t>
      </w:r>
    </w:p>
    <w:p>
      <w:pPr>
        <w:ind w:left="420"/>
      </w:pPr>
      <w:r>
        <w:t xml:space="preserve">11. Eine harmonisierte Norm ist eine harmonisierte Norm im Sinne des Artikels 2 Nummer 1 Buchstabe c der Verordnung (EU) Nr. 1025/2012.</w:t>
      </w:r>
    </w:p>
    <w:p>
      <w:pPr>
        <w:ind w:left="420"/>
      </w:pPr>
      <w:r>
        <w:t xml:space="preserve">12. Die grundlegenden Sicherheits- und Gesundheitsschutzanforderungen sind die verbindlichen Vorschriften für die Konstruktion und den Bau von Produkten, für die diese Verordnung gilt. Zweck dieser Anforderungen ist es, ein hohes Maß an Sicherheit und Gesundheitsschutz von Personen und gegebenenfalls von Haustieren, die Sicherheit von Sachen sowie, soweit anwendbar, den Schutz der Umwelt zu gewährleisten. Die grundlegenden Sicherheits- und Gesundheitsschutzanforderungen sind in Anhang I der Richtlinie 2006/42/EG in der Fassung vom 9. Oktober 2024 angegeben. Die grundlegenden Sicherheits- und Gesundheitsschutzanforderungen hinsichtlich des Schutzes der Umwelt sind nur auf die in Abschnitt 2.4 dieses Anhangs genannten Maschinen anzuwenden.</w:t>
      </w:r>
    </w:p>
    <w:p>
      <w:pPr>
        <w:ind w:left="420"/>
      </w:pPr>
      <w:r>
        <w:t xml:space="preserve">13. Eine krisenrelevante Ware ist eine solche im Sinne von Artikel 3 Nummer 6 der Verordnung (EU) 2024/2747.</w:t>
      </w:r>
    </w:p>
    <w:p>
      <w:pPr>
        <w:ind w:left="420"/>
      </w:pPr>
      <w:r>
        <w:t xml:space="preserve">14. Der Notfallmodus für den Binnenmarkt ist der in Artikel 3 Nummer 3 der Verordnung (EU) 2024/2747 niedergelegte Rahmen zur Bewältigung einer Krise mit erheblichen negativen Auswirkungen auf den Binnenmarkt.</w:t>
      </w:r>
    </w:p>
    <w:p>
      <w:r>
        <w:rPr>
          <w:color w:val="555555"/>
          <w:sz w:val="17"/>
        </w:rPr>
        <w:t xml:space="preserve">Zitiervorschlag: § 2 GSGV 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