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GSGV 15 — Inkrafttreten</w:t>
      </w:r>
    </w:p>
    <w:p>
      <w:r>
        <w:rPr>
          <w:color w:val="555555"/>
          <w:sz w:val="18"/>
        </w:rPr>
        <w:t xml:space="preserve">Verordnung über das Verbot der Einfuhr, des Inverkehrbringens und des Bereitstellens von Himmelslaternen auf dem Markt</w:t>
      </w:r>
    </w:p>
    <w:p>
      <w:r>
        <w:rPr>
          <w:color w:val="555555"/>
          <w:sz w:val="18"/>
        </w:rPr>
        <w:t xml:space="preserve">Stand: 16.01.2024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5 GSGV 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https://recht.nulegal.eu/gesetze/GSGV%2015/5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