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GSGV 15 — Ordnungswidrigkeiten und Straftaten</w:t>
      </w:r>
    </w:p>
    <w:p>
      <w:r>
        <w:rPr>
          <w:color w:val="555555"/>
          <w:sz w:val="18"/>
        </w:rPr>
        <w:t xml:space="preserve">Verordnung über das Verbot der Einfuhr, des Inverkehrbringens und des Bereitstellens von Himmelslaternen auf dem Markt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(1) Ordnungswidrig im Sinne des § 28 Absatz 1 Nummer 7 Buchstabe a des Produktsicherheitsgesetzes handelt, wer vorsätzlich oder fahrlässig entgegen § 3 Absatz 1 eine Himmelslaterne einführt, in Verkehr bringt oder auf dem Markt bereitstellt.</w:t>
      </w:r>
    </w:p>
    <w:p>
      <w:r>
        <w:t xml:space="preserve">(2) Wer eine in Absatz 1 bezeichnete vorsätzliche Handlung beharrlich wiederholt oder durch eine solche vorsätzliche Handlung Leben oder Gesundheit eines anderen oder fremde Sachen von bedeutendem Wert gefährdet, ist nach § 29 des Produktsicherheitsgesetzes strafbar.</w:t>
      </w:r>
    </w:p>
    <w:p>
      <w:r>
        <w:rPr>
          <w:color w:val="555555"/>
          <w:sz w:val="17"/>
        </w:rPr>
        <w:t xml:space="preserve">Zitiervorschlag: § 4 GSGV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